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8" w:rsidRPr="008D3937" w:rsidRDefault="007C5888" w:rsidP="004C1F4F">
      <w:pPr>
        <w:jc w:val="right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>Проект</w:t>
      </w:r>
    </w:p>
    <w:p w:rsidR="007C5888" w:rsidRDefault="007C5888" w:rsidP="004C1F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888" w:rsidRPr="00E05564" w:rsidRDefault="007C5888" w:rsidP="00E055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564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Думы городского округа Тольятти от 07.12.2011г. № 692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 П</w:t>
      </w:r>
      <w:r w:rsidRPr="00E05564">
        <w:rPr>
          <w:rFonts w:ascii="Times New Roman" w:hAnsi="Times New Roman" w:cs="Times New Roman"/>
          <w:b/>
          <w:bCs/>
          <w:sz w:val="26"/>
          <w:szCs w:val="26"/>
        </w:rPr>
        <w:t>оложении о контрольно-счетной палате городского округа Тольятти»</w:t>
      </w:r>
    </w:p>
    <w:p w:rsidR="007C5888" w:rsidRPr="008D3937" w:rsidRDefault="007C5888" w:rsidP="00E05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5888" w:rsidRDefault="007C5888" w:rsidP="001367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ab/>
      </w:r>
      <w:r w:rsidRPr="00136705">
        <w:rPr>
          <w:rFonts w:ascii="Times New Roman" w:hAnsi="Times New Roman" w:cs="Times New Roman"/>
          <w:sz w:val="26"/>
          <w:szCs w:val="26"/>
        </w:rPr>
        <w:t xml:space="preserve">В целях приведения Положения о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палате городского округа</w:t>
      </w:r>
      <w:r w:rsidRPr="00136705">
        <w:rPr>
          <w:rFonts w:ascii="Times New Roman" w:hAnsi="Times New Roman" w:cs="Times New Roman"/>
          <w:sz w:val="26"/>
          <w:szCs w:val="26"/>
        </w:rPr>
        <w:t xml:space="preserve"> Тольятти в соответствие с </w:t>
      </w:r>
      <w:r>
        <w:rPr>
          <w:rFonts w:ascii="Times New Roman" w:hAnsi="Times New Roman" w:cs="Times New Roman"/>
          <w:sz w:val="26"/>
          <w:szCs w:val="26"/>
        </w:rPr>
        <w:t>Уставом городского округа Тольятти</w:t>
      </w:r>
      <w:r w:rsidRPr="00136705">
        <w:rPr>
          <w:rStyle w:val="FontStyle30"/>
          <w:sz w:val="26"/>
          <w:szCs w:val="26"/>
        </w:rPr>
        <w:t>,</w:t>
      </w:r>
      <w:r w:rsidRPr="00136705">
        <w:rPr>
          <w:rFonts w:ascii="Times New Roman" w:hAnsi="Times New Roman" w:cs="Times New Roman"/>
          <w:sz w:val="26"/>
          <w:szCs w:val="26"/>
        </w:rPr>
        <w:t xml:space="preserve"> Дума</w:t>
      </w:r>
      <w:r w:rsidRPr="008D39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888" w:rsidRPr="00DC5A97" w:rsidRDefault="007C5888" w:rsidP="00DC5A9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C5A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решила:</w:t>
      </w:r>
    </w:p>
    <w:p w:rsidR="007C5888" w:rsidRPr="008D3937" w:rsidRDefault="007C5888" w:rsidP="00E055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 xml:space="preserve">1. Внести в Положение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D3937">
        <w:rPr>
          <w:rFonts w:ascii="Times New Roman" w:hAnsi="Times New Roman" w:cs="Times New Roman"/>
          <w:sz w:val="26"/>
          <w:szCs w:val="26"/>
        </w:rPr>
        <w:t xml:space="preserve">онтрольно-счетной палате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Тольятти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393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C5888" w:rsidRPr="008D3937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ab/>
        <w:t>1.1. В статье 1:</w:t>
      </w:r>
    </w:p>
    <w:p w:rsidR="007C5888" w:rsidRPr="008D3937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предложение</w:t>
      </w:r>
      <w:r w:rsidRPr="008D3937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Pr="008D3937">
        <w:rPr>
          <w:rFonts w:ascii="Times New Roman" w:hAnsi="Times New Roman" w:cs="Times New Roman"/>
          <w:sz w:val="26"/>
          <w:szCs w:val="26"/>
        </w:rPr>
        <w:t xml:space="preserve"> 2 изложить в следующей редакции:</w:t>
      </w:r>
    </w:p>
    <w:p w:rsidR="007C5888" w:rsidRPr="008D3937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ab/>
        <w:t xml:space="preserve">«Контрольно-счетная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 xml:space="preserve">является органом местного самоуправления и </w:t>
      </w:r>
      <w:r w:rsidRPr="008D3937">
        <w:rPr>
          <w:rFonts w:ascii="Times New Roman" w:hAnsi="Times New Roman" w:cs="Times New Roman"/>
          <w:sz w:val="26"/>
          <w:szCs w:val="26"/>
        </w:rPr>
        <w:t>обл</w:t>
      </w:r>
      <w:r>
        <w:rPr>
          <w:rFonts w:ascii="Times New Roman" w:hAnsi="Times New Roman" w:cs="Times New Roman"/>
          <w:sz w:val="26"/>
          <w:szCs w:val="26"/>
        </w:rPr>
        <w:t>адает правами юридического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8D39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C5888" w:rsidRPr="008D3937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часть</w:t>
      </w:r>
      <w:r w:rsidRPr="008D3937">
        <w:rPr>
          <w:rFonts w:ascii="Times New Roman" w:hAnsi="Times New Roman" w:cs="Times New Roman"/>
          <w:sz w:val="26"/>
          <w:szCs w:val="26"/>
        </w:rPr>
        <w:t xml:space="preserve"> 3 изложить в следующей редакции: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 w:rsidRPr="008D3937">
        <w:rPr>
          <w:rFonts w:ascii="Times New Roman" w:hAnsi="Times New Roman" w:cs="Times New Roman"/>
          <w:sz w:val="26"/>
          <w:szCs w:val="26"/>
        </w:rPr>
        <w:tab/>
        <w:t xml:space="preserve">«Контрольно-счетная палата обладает </w:t>
      </w:r>
      <w:proofErr w:type="gramStart"/>
      <w:r w:rsidRPr="008D3937">
        <w:rPr>
          <w:rFonts w:ascii="Times New Roman" w:hAnsi="Times New Roman" w:cs="Times New Roman"/>
          <w:sz w:val="26"/>
          <w:szCs w:val="26"/>
        </w:rPr>
        <w:t>организационной</w:t>
      </w:r>
      <w:proofErr w:type="gramEnd"/>
      <w:r w:rsidRPr="008D3937">
        <w:rPr>
          <w:rFonts w:ascii="Times New Roman" w:hAnsi="Times New Roman" w:cs="Times New Roman"/>
          <w:sz w:val="26"/>
          <w:szCs w:val="26"/>
        </w:rPr>
        <w:t xml:space="preserve"> и функциональной независимостью, и осуществляет свою деятельность самостоятельно</w:t>
      </w:r>
      <w:proofErr w:type="gramStart"/>
      <w:r w:rsidRPr="008D39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C5888" w:rsidRDefault="007C5888" w:rsidP="00F52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статье 4: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Абзац 1 части 4 изложить в следующей редакции: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состав аппарата контрольно-счетной палаты входят инспекторы и иные штатные работники, замещающие должности муниципальной службы, а также работники, исполняющие обязанности по техническому обеспечению деятельности контрольно-счетной палаты.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 Иные штатные работники о</w:t>
      </w:r>
      <w:r w:rsidR="002A3A61">
        <w:rPr>
          <w:rFonts w:ascii="Times New Roman" w:hAnsi="Times New Roman" w:cs="Times New Roman"/>
          <w:sz w:val="26"/>
          <w:szCs w:val="26"/>
        </w:rPr>
        <w:t>существля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ют правовое, информационно-технологическое, материально-техническое и организационное обеспечение деятельности контрольно-счетной палаты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абзац 2 части 4 исключить.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часть 5 изложить в следующей редакции: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«Штатная численность устанавливается решением Думы по представлению председателя контрольно-счетной палаты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абзац 2 части 6 исключить;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часть 7 изложить в следующей редакции: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«Внутренние вопросы деятельности контрольно-счетной палаты, функции и взаимодействие структурных подразделений контрольно-счетной палаты, порядок ведения дел, подготовки и проведения контрольных и экспертно-аналитических мероприятий, иной деятельности определяются Регламентом контрольно-счетной палаты и разрабатываемыми на его основе инструкциями и положениями.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Регламент контрольно-счетной палаты рассматривается коллегией контрольно-счетной палаты и утверждается председателем контрольно-счетной палаты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F52C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частью 9 следующего содержания:</w:t>
      </w:r>
    </w:p>
    <w:p w:rsidR="007C5888" w:rsidRDefault="007C5888" w:rsidP="00F52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«Для рассмотрения наиболее важных вопросов деятельности контрольно-счетной палаты, в том числе планирования и организации ее деятельности, методологии контрольной деятельности, повышения эффективности ее работы, рассмотрения результатов контрольных и экспертно-аналитических мероприятий, образуется коллегия контрольно-счетной палаты.</w:t>
      </w:r>
    </w:p>
    <w:p w:rsidR="007C5888" w:rsidRDefault="007C5888" w:rsidP="00F52C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коллегии контрольно-счетной палаты входит председатель, заместитель председателя, аудиторы контрольно-счетной палаты. Компетенция и порядок работы коллегии определяются Регламентом контрольно-счетной палаты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В статье 5: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часть 1 изложить в следующей редакции: 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«Председатель, заместитель председателя и аудиторы контрольно-счетной палаты назначаются на должность решением Думы».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В статье 6: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F7F34">
        <w:rPr>
          <w:rFonts w:ascii="Times New Roman" w:hAnsi="Times New Roman" w:cs="Times New Roman"/>
          <w:sz w:val="26"/>
          <w:szCs w:val="26"/>
        </w:rPr>
        <w:t>абзац 1 части 3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5888" w:rsidRDefault="007C5888" w:rsidP="004A5E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«Граждане, замещающие должности муниципальной служ</w:t>
      </w:r>
      <w:r w:rsidR="00363375">
        <w:rPr>
          <w:rFonts w:ascii="Times New Roman" w:hAnsi="Times New Roman" w:cs="Times New Roman"/>
          <w:sz w:val="26"/>
          <w:szCs w:val="26"/>
        </w:rPr>
        <w:t>бы в контрольно-счетной палате 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63375"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r>
        <w:rPr>
          <w:rFonts w:ascii="Times New Roman" w:hAnsi="Times New Roman" w:cs="Times New Roman"/>
          <w:sz w:val="26"/>
          <w:szCs w:val="26"/>
        </w:rPr>
        <w:t>Тольятти,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Думы, мэром городского округа Тольятти, руководителями судебных и правоохранительных органов, расположенных на территории городского округа Тольятти.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В статье 8: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пункт 7 части 1 изложить в следующей редакции: </w:t>
      </w:r>
    </w:p>
    <w:p w:rsidR="007C5888" w:rsidRDefault="007C5888" w:rsidP="00F52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«финансово-экономическая экспертиза проектов муниципальных правовых актов городского округа Тольятти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В статье 12: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пункта 7 части 1 изложить в следующей редакции:</w:t>
      </w:r>
    </w:p>
    <w:p w:rsidR="007C5888" w:rsidRDefault="007C5888" w:rsidP="00FC79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«7) издает правовые акты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вопросам организации деятельности контрольно-счетной палаты;»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дополнить часть 1 пунктами: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«8) утверждает штатное расписание контрольно-счетной палаты в пределах установленных бюджетных ассигнований на содержание контрольно-счетной палаты;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9) утверждает стандарты внешнего муниципального контроля, методические документы по проведению контрольных и экспертно-аналитических мероприятий контрольно-счетной палаты;</w:t>
      </w:r>
    </w:p>
    <w:p w:rsidR="007C5888" w:rsidRDefault="007C5888" w:rsidP="006A5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организует работу коллегии контрольно-счетной палаты, ведет ее заседания и подписывает решения коллегии контрольно-счетной палаты;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подписывает представления и предписания, финансовые документы, в том числе муниципальные контракты, договоры, учетную и отчетную бухгалтерскую документацию;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подписывает от имени контрольно-счетной палаты исковые заявление и иные документы, направляемые в суд;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осуществляет иные полномочия, предусмотренные настоящим Положением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статьей 12.1 «Коллегия контрольно-счетной палаты» следующего содержания: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Коллегия контрольно-счетной палаты осуществляет следующие полномочия: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рассмотрение Регламента контрольно-счетной палаты;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планов работы контрольно-счетной палаты, а также изменений в них;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5888">
        <w:rPr>
          <w:rFonts w:ascii="Times New Roman" w:hAnsi="Times New Roman" w:cs="Times New Roman"/>
          <w:sz w:val="26"/>
          <w:szCs w:val="26"/>
        </w:rPr>
        <w:t>) распределение обязанностей между аудиторами контрольно-счетной палаты;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стандартов внешнего муниципального финансового контроля;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отчетов о результатах проведенных контрольных и экспертно-аналитических мероприятий;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вопросов о направлении представлений и предписаний контрольно-счетной палаты;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заключений о результатах проведенных экспертно-аналитических мероприятий;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5888">
        <w:rPr>
          <w:rFonts w:ascii="Times New Roman" w:hAnsi="Times New Roman" w:cs="Times New Roman"/>
          <w:sz w:val="26"/>
          <w:szCs w:val="26"/>
        </w:rPr>
        <w:t>) рассмотрение отчетов о работе контрольно-счетной палаты;</w:t>
      </w:r>
    </w:p>
    <w:p w:rsidR="007C5888" w:rsidRDefault="00EF7F34" w:rsidP="00D7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5888">
        <w:rPr>
          <w:rFonts w:ascii="Times New Roman" w:hAnsi="Times New Roman" w:cs="Times New Roman"/>
          <w:sz w:val="26"/>
          <w:szCs w:val="26"/>
        </w:rPr>
        <w:t>) иные полномочия, предусмотренные Регламентом контрольно-счетной палаты.</w:t>
      </w:r>
    </w:p>
    <w:p w:rsidR="007C5888" w:rsidRDefault="007C5888" w:rsidP="00203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коллегии контрольно-счетной палаты определяется Регламентом контрольно-счетной палаты.</w:t>
      </w:r>
    </w:p>
    <w:p w:rsidR="007C5888" w:rsidRDefault="007C5888" w:rsidP="00A16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целях получения пояснений и иной информации по вопросам, отнесенным к компетенции коллегии контрольно-счетной палаты, на заседание коллегии контрольно-счетной палаты ее председателем могут быть приглашены руководители (их представители) проверяемых органов и организаций, а также руководители (их представители) иных заинтересованных органов и организаций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1.8. В статье 20:</w:t>
      </w:r>
    </w:p>
    <w:p w:rsidR="007C5888" w:rsidRDefault="007C5888" w:rsidP="00E055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часть 1 изложить в следующей редакции: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«Расходы на обеспечение деятельности контрольно-счетной палаты предусматриваются в бюджете городского округа Тольятти отдельной строкой в соответствии с классификацией расходов бюджетов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часть 3 изложить в следующей редакции:</w:t>
      </w:r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«Контроль за использованием контрольно-счетной палатой бюджетных средств, муниципального имущества осуществляется на основе решений Думы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C5888" w:rsidRDefault="007C5888" w:rsidP="00E05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часть 4 исключить.</w:t>
      </w:r>
    </w:p>
    <w:p w:rsidR="007C5888" w:rsidRPr="00A21A26" w:rsidRDefault="007C5888" w:rsidP="00EE7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21A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A2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«Городские ведомости». </w:t>
      </w:r>
    </w:p>
    <w:p w:rsidR="007C5888" w:rsidRDefault="007C5888" w:rsidP="00EE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888" w:rsidRPr="00A21A26" w:rsidRDefault="007C5888" w:rsidP="00A168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1A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1A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1A2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A21A26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A21A26">
        <w:rPr>
          <w:rFonts w:ascii="Times New Roman" w:hAnsi="Times New Roman" w:cs="Times New Roman"/>
          <w:sz w:val="26"/>
          <w:szCs w:val="26"/>
        </w:rPr>
        <w:t>Колмыков</w:t>
      </w:r>
      <w:proofErr w:type="spellEnd"/>
      <w:r w:rsidRPr="00A21A26">
        <w:rPr>
          <w:rFonts w:ascii="Times New Roman" w:hAnsi="Times New Roman" w:cs="Times New Roman"/>
          <w:sz w:val="26"/>
          <w:szCs w:val="26"/>
        </w:rPr>
        <w:t xml:space="preserve"> С.Н.).</w:t>
      </w:r>
    </w:p>
    <w:p w:rsidR="007C5888" w:rsidRDefault="007C5888" w:rsidP="00A21A26">
      <w:pPr>
        <w:jc w:val="both"/>
        <w:rPr>
          <w:sz w:val="27"/>
          <w:szCs w:val="27"/>
        </w:rPr>
      </w:pPr>
    </w:p>
    <w:p w:rsidR="00363375" w:rsidRDefault="007C5888" w:rsidP="00EE7F4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21A26">
        <w:rPr>
          <w:rFonts w:ascii="Times New Roman" w:hAnsi="Times New Roman" w:cs="Times New Roman"/>
          <w:sz w:val="26"/>
          <w:szCs w:val="26"/>
        </w:rPr>
        <w:t xml:space="preserve">Мэр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21A2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Pr="00A21A26">
        <w:rPr>
          <w:rFonts w:ascii="Times New Roman" w:hAnsi="Times New Roman" w:cs="Times New Roman"/>
          <w:sz w:val="26"/>
          <w:szCs w:val="26"/>
        </w:rPr>
        <w:t>С.И.Андреев</w:t>
      </w:r>
      <w:proofErr w:type="spellEnd"/>
      <w:r w:rsidRPr="00A21A26">
        <w:rPr>
          <w:rFonts w:ascii="Times New Roman" w:hAnsi="Times New Roman" w:cs="Times New Roman"/>
          <w:sz w:val="26"/>
          <w:szCs w:val="26"/>
        </w:rPr>
        <w:t xml:space="preserve"> </w:t>
      </w:r>
      <w:r w:rsidRPr="00A21A2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C5888" w:rsidRPr="00A21A26" w:rsidRDefault="007C5888" w:rsidP="00EE7F4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21A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7C5888" w:rsidRPr="00A21A26" w:rsidRDefault="007C5888" w:rsidP="0090665D">
      <w:pPr>
        <w:pStyle w:val="2"/>
        <w:ind w:firstLine="708"/>
        <w:jc w:val="left"/>
        <w:rPr>
          <w:b w:val="0"/>
          <w:bCs w:val="0"/>
          <w:sz w:val="27"/>
          <w:szCs w:val="27"/>
        </w:rPr>
      </w:pPr>
      <w:r w:rsidRPr="00A21A26">
        <w:rPr>
          <w:b w:val="0"/>
          <w:bCs w:val="0"/>
          <w:sz w:val="27"/>
          <w:szCs w:val="27"/>
        </w:rPr>
        <w:t xml:space="preserve">Председатель Думы       </w:t>
      </w:r>
      <w:r>
        <w:rPr>
          <w:b w:val="0"/>
          <w:bCs w:val="0"/>
          <w:sz w:val="27"/>
          <w:szCs w:val="27"/>
        </w:rPr>
        <w:t xml:space="preserve">                    </w:t>
      </w:r>
      <w:r w:rsidRPr="00A21A26">
        <w:rPr>
          <w:b w:val="0"/>
          <w:bCs w:val="0"/>
          <w:sz w:val="27"/>
          <w:szCs w:val="27"/>
        </w:rPr>
        <w:t xml:space="preserve">                                            </w:t>
      </w:r>
      <w:proofErr w:type="spellStart"/>
      <w:r w:rsidRPr="00A21A26">
        <w:rPr>
          <w:b w:val="0"/>
          <w:bCs w:val="0"/>
          <w:sz w:val="27"/>
          <w:szCs w:val="27"/>
        </w:rPr>
        <w:t>А.В.Денисов</w:t>
      </w:r>
      <w:proofErr w:type="spellEnd"/>
    </w:p>
    <w:p w:rsidR="007C5888" w:rsidRDefault="007C5888" w:rsidP="00EE7F4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5888" w:rsidSect="00FE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AE4"/>
    <w:multiLevelType w:val="hybridMultilevel"/>
    <w:tmpl w:val="028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6E"/>
    <w:rsid w:val="001124E8"/>
    <w:rsid w:val="00125183"/>
    <w:rsid w:val="00136705"/>
    <w:rsid w:val="00151334"/>
    <w:rsid w:val="001F727C"/>
    <w:rsid w:val="00203CC1"/>
    <w:rsid w:val="002A0A04"/>
    <w:rsid w:val="002A3A61"/>
    <w:rsid w:val="002B23CD"/>
    <w:rsid w:val="00322934"/>
    <w:rsid w:val="00336040"/>
    <w:rsid w:val="00363375"/>
    <w:rsid w:val="0036516A"/>
    <w:rsid w:val="0049545F"/>
    <w:rsid w:val="004A5E5F"/>
    <w:rsid w:val="004C1F4F"/>
    <w:rsid w:val="004E04D7"/>
    <w:rsid w:val="0053200B"/>
    <w:rsid w:val="005C5B6A"/>
    <w:rsid w:val="006A5DE6"/>
    <w:rsid w:val="006F7EBF"/>
    <w:rsid w:val="0070050B"/>
    <w:rsid w:val="00760214"/>
    <w:rsid w:val="007A59D5"/>
    <w:rsid w:val="007A631E"/>
    <w:rsid w:val="007C5888"/>
    <w:rsid w:val="007F7BBA"/>
    <w:rsid w:val="00811776"/>
    <w:rsid w:val="0088121A"/>
    <w:rsid w:val="008B67F1"/>
    <w:rsid w:val="008C1192"/>
    <w:rsid w:val="008D3937"/>
    <w:rsid w:val="00901EF3"/>
    <w:rsid w:val="00903F61"/>
    <w:rsid w:val="0090665D"/>
    <w:rsid w:val="00980B96"/>
    <w:rsid w:val="0099299D"/>
    <w:rsid w:val="009A7980"/>
    <w:rsid w:val="00A114A8"/>
    <w:rsid w:val="00A16801"/>
    <w:rsid w:val="00A21A26"/>
    <w:rsid w:val="00A83AE1"/>
    <w:rsid w:val="00A86BDF"/>
    <w:rsid w:val="00AB11E1"/>
    <w:rsid w:val="00B21B4D"/>
    <w:rsid w:val="00B373F5"/>
    <w:rsid w:val="00B57867"/>
    <w:rsid w:val="00BB6CD7"/>
    <w:rsid w:val="00BD6A6E"/>
    <w:rsid w:val="00C30D72"/>
    <w:rsid w:val="00C43B07"/>
    <w:rsid w:val="00C52C54"/>
    <w:rsid w:val="00C9044D"/>
    <w:rsid w:val="00C93F67"/>
    <w:rsid w:val="00C946EE"/>
    <w:rsid w:val="00C96C73"/>
    <w:rsid w:val="00CC797C"/>
    <w:rsid w:val="00D35BC0"/>
    <w:rsid w:val="00D463D3"/>
    <w:rsid w:val="00D607E8"/>
    <w:rsid w:val="00D73ED4"/>
    <w:rsid w:val="00DC5A97"/>
    <w:rsid w:val="00E05564"/>
    <w:rsid w:val="00E26901"/>
    <w:rsid w:val="00E84C29"/>
    <w:rsid w:val="00E86A3E"/>
    <w:rsid w:val="00E86C37"/>
    <w:rsid w:val="00E9466A"/>
    <w:rsid w:val="00EB4AB3"/>
    <w:rsid w:val="00EB7DB9"/>
    <w:rsid w:val="00EE7F48"/>
    <w:rsid w:val="00EF01EC"/>
    <w:rsid w:val="00EF7F34"/>
    <w:rsid w:val="00F04AB9"/>
    <w:rsid w:val="00F52C5B"/>
    <w:rsid w:val="00F63783"/>
    <w:rsid w:val="00F77DDE"/>
    <w:rsid w:val="00FC79FD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1A2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1A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5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1A2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1367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1A2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1A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5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1A2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1367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E42-7602-4C0B-9423-1F675B13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</dc:creator>
  <cp:keywords/>
  <dc:description/>
  <cp:lastModifiedBy>макеева</cp:lastModifiedBy>
  <cp:revision>4</cp:revision>
  <cp:lastPrinted>2013-07-08T04:36:00Z</cp:lastPrinted>
  <dcterms:created xsi:type="dcterms:W3CDTF">2013-07-05T12:11:00Z</dcterms:created>
  <dcterms:modified xsi:type="dcterms:W3CDTF">2013-07-08T04:38:00Z</dcterms:modified>
</cp:coreProperties>
</file>