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A" w:rsidRPr="00045C63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88A" w:rsidRPr="00045C63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88A" w:rsidRPr="00045C63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88A" w:rsidRPr="00045C63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b/>
          <w:sz w:val="28"/>
          <w:szCs w:val="28"/>
        </w:rPr>
      </w:pPr>
    </w:p>
    <w:p w:rsidR="00045C63" w:rsidRDefault="0032188A" w:rsidP="00045C6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45C63">
        <w:rPr>
          <w:b/>
          <w:sz w:val="28"/>
          <w:szCs w:val="28"/>
        </w:rPr>
        <w:t xml:space="preserve">О внесении изменений в постановление </w:t>
      </w:r>
    </w:p>
    <w:p w:rsidR="00045C63" w:rsidRDefault="0032188A" w:rsidP="00045C6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45C63">
        <w:rPr>
          <w:b/>
          <w:sz w:val="28"/>
          <w:szCs w:val="28"/>
        </w:rPr>
        <w:t xml:space="preserve">Тольяттинской городской Думы от 11.03.2004 №1039 </w:t>
      </w:r>
    </w:p>
    <w:p w:rsidR="0032188A" w:rsidRPr="00045C63" w:rsidRDefault="00045C63" w:rsidP="00045C6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Почё</w:t>
      </w:r>
      <w:r w:rsidR="0032188A" w:rsidRPr="00045C63">
        <w:rPr>
          <w:b/>
          <w:sz w:val="28"/>
          <w:szCs w:val="28"/>
        </w:rPr>
        <w:t>тном гражданине городского округа Тольятти (новая редакция)»</w:t>
      </w:r>
    </w:p>
    <w:p w:rsidR="0032188A" w:rsidRPr="00045C63" w:rsidRDefault="0032188A" w:rsidP="00045C63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32188A" w:rsidRDefault="0032188A" w:rsidP="00045C63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045C63" w:rsidRPr="00045C63" w:rsidRDefault="00045C63" w:rsidP="00045C63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32188A" w:rsidRDefault="0032188A" w:rsidP="00045C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C63">
        <w:rPr>
          <w:sz w:val="28"/>
          <w:szCs w:val="28"/>
        </w:rPr>
        <w:t>Рассмотрев представленные рабочей группой изменения в постановление Тольяттинской городской Думы от 11.03.2</w:t>
      </w:r>
      <w:r w:rsidR="00045C63">
        <w:rPr>
          <w:sz w:val="28"/>
          <w:szCs w:val="28"/>
        </w:rPr>
        <w:t xml:space="preserve">004 №1039 </w:t>
      </w:r>
      <w:r w:rsidR="00045C63">
        <w:rPr>
          <w:sz w:val="28"/>
          <w:szCs w:val="28"/>
        </w:rPr>
        <w:br/>
        <w:t xml:space="preserve">«О </w:t>
      </w:r>
      <w:proofErr w:type="gramStart"/>
      <w:r w:rsidR="00045C63">
        <w:rPr>
          <w:sz w:val="28"/>
          <w:szCs w:val="28"/>
        </w:rPr>
        <w:t>Положении</w:t>
      </w:r>
      <w:proofErr w:type="gramEnd"/>
      <w:r w:rsidR="00045C63">
        <w:rPr>
          <w:sz w:val="28"/>
          <w:szCs w:val="28"/>
        </w:rPr>
        <w:t xml:space="preserve"> о Почё</w:t>
      </w:r>
      <w:r w:rsidRPr="00045C63">
        <w:rPr>
          <w:sz w:val="28"/>
          <w:szCs w:val="28"/>
        </w:rPr>
        <w:t xml:space="preserve">тном гражданине городского округа Тольятти (новая редакция)», Дума </w:t>
      </w:r>
    </w:p>
    <w:p w:rsidR="00045C63" w:rsidRPr="00045C63" w:rsidRDefault="00045C63" w:rsidP="00045C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188A" w:rsidRPr="00045C63" w:rsidRDefault="0032188A" w:rsidP="00045C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5C63">
        <w:rPr>
          <w:sz w:val="28"/>
          <w:szCs w:val="28"/>
        </w:rPr>
        <w:t>РЕШИЛА:</w:t>
      </w:r>
    </w:p>
    <w:p w:rsidR="00045C63" w:rsidRPr="00045C63" w:rsidRDefault="00045C63" w:rsidP="00045C63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4"/>
          <w:szCs w:val="24"/>
        </w:rPr>
      </w:pPr>
    </w:p>
    <w:p w:rsidR="0032188A" w:rsidRPr="00045C63" w:rsidRDefault="0032188A" w:rsidP="00045C6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Внести в постановление Тольяттинской городской Думы от 11.03.2004 №</w:t>
      </w:r>
      <w:r w:rsidR="00045C63">
        <w:rPr>
          <w:rFonts w:ascii="Times New Roman" w:hAnsi="Times New Roman" w:cs="Times New Roman"/>
          <w:sz w:val="28"/>
          <w:szCs w:val="28"/>
        </w:rPr>
        <w:t xml:space="preserve">1039 «О </w:t>
      </w:r>
      <w:proofErr w:type="gramStart"/>
      <w:r w:rsidR="00045C6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45C63">
        <w:rPr>
          <w:rFonts w:ascii="Times New Roman" w:hAnsi="Times New Roman" w:cs="Times New Roman"/>
          <w:sz w:val="28"/>
          <w:szCs w:val="28"/>
        </w:rPr>
        <w:t xml:space="preserve"> о Почё</w:t>
      </w:r>
      <w:r w:rsidRPr="00045C63">
        <w:rPr>
          <w:rFonts w:ascii="Times New Roman" w:hAnsi="Times New Roman" w:cs="Times New Roman"/>
          <w:sz w:val="28"/>
          <w:szCs w:val="28"/>
        </w:rPr>
        <w:t>тном гражданине городского округа Тольятти (новая редакция)» (далее – Постановление) следующие изменения:</w:t>
      </w:r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Из названия Постановления исключить слова «(новая редакция)»</w:t>
      </w:r>
      <w:r w:rsidR="001B35DB">
        <w:rPr>
          <w:rFonts w:ascii="Times New Roman" w:hAnsi="Times New Roman" w:cs="Times New Roman"/>
          <w:sz w:val="28"/>
          <w:szCs w:val="28"/>
        </w:rPr>
        <w:t>.</w:t>
      </w:r>
      <w:r w:rsidRPr="00045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«4. Рекомендовать мэрии городского округа Тольятти ежегодно при формировании бюджета городского округа предусматривать расходы, связанны</w:t>
      </w:r>
      <w:r w:rsidR="00045C63">
        <w:rPr>
          <w:sz w:val="28"/>
          <w:szCs w:val="28"/>
        </w:rPr>
        <w:t>е с реализацией Положения о Почё</w:t>
      </w:r>
      <w:r w:rsidRPr="00045C63">
        <w:rPr>
          <w:sz w:val="28"/>
          <w:szCs w:val="28"/>
        </w:rPr>
        <w:t>тном гражданине городского округа Тольятти».</w:t>
      </w:r>
    </w:p>
    <w:p w:rsidR="0032188A" w:rsidRPr="00045C63" w:rsidRDefault="00045C63" w:rsidP="00045C6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Почё</w:t>
      </w:r>
      <w:r w:rsidR="0032188A" w:rsidRPr="00045C63">
        <w:rPr>
          <w:rFonts w:ascii="Times New Roman" w:hAnsi="Times New Roman" w:cs="Times New Roman"/>
          <w:sz w:val="28"/>
          <w:szCs w:val="28"/>
        </w:rPr>
        <w:t>тном гражданине городского округа Тольят</w:t>
      </w:r>
      <w:r>
        <w:rPr>
          <w:rFonts w:ascii="Times New Roman" w:hAnsi="Times New Roman" w:cs="Times New Roman"/>
          <w:sz w:val="28"/>
          <w:szCs w:val="28"/>
        </w:rPr>
        <w:t>ти (далее - Положение), утверждё</w:t>
      </w:r>
      <w:r w:rsidR="0032188A" w:rsidRPr="00045C63">
        <w:rPr>
          <w:rFonts w:ascii="Times New Roman" w:hAnsi="Times New Roman" w:cs="Times New Roman"/>
          <w:sz w:val="28"/>
          <w:szCs w:val="28"/>
        </w:rPr>
        <w:t>нное Постановлением, следующие изменения:</w:t>
      </w:r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В абзаце 2 п</w:t>
      </w:r>
      <w:r w:rsidR="00F37A3F">
        <w:rPr>
          <w:rFonts w:ascii="Times New Roman" w:hAnsi="Times New Roman" w:cs="Times New Roman"/>
          <w:sz w:val="28"/>
          <w:szCs w:val="28"/>
        </w:rPr>
        <w:t>ункта 2.12 Положения слова «Почё</w:t>
      </w:r>
      <w:r w:rsidRPr="00045C63">
        <w:rPr>
          <w:rFonts w:ascii="Times New Roman" w:hAnsi="Times New Roman" w:cs="Times New Roman"/>
          <w:sz w:val="28"/>
          <w:szCs w:val="28"/>
        </w:rPr>
        <w:t xml:space="preserve">тный гражданин города </w:t>
      </w:r>
      <w:r w:rsidR="00045C63">
        <w:rPr>
          <w:rFonts w:ascii="Times New Roman" w:hAnsi="Times New Roman" w:cs="Times New Roman"/>
          <w:sz w:val="28"/>
          <w:szCs w:val="28"/>
        </w:rPr>
        <w:t>Тольятти» заменить словами «Почё</w:t>
      </w:r>
      <w:r w:rsidRPr="00045C63">
        <w:rPr>
          <w:rFonts w:ascii="Times New Roman" w:hAnsi="Times New Roman" w:cs="Times New Roman"/>
          <w:sz w:val="28"/>
          <w:szCs w:val="28"/>
        </w:rPr>
        <w:t>тный гражданин городского округа Тольятти».</w:t>
      </w:r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В абзацах 2, 3 пункта 3.4 Положения слова «в муниципальном учреждении культуры» заменить словами «в муниципальном бюджетном учреждении культуры».</w:t>
      </w:r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 xml:space="preserve">Подпункт «а» пункта 3.5.2 Положения изложить в следующей редакции: </w:t>
      </w:r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63">
        <w:rPr>
          <w:sz w:val="28"/>
          <w:szCs w:val="28"/>
          <w:lang w:eastAsia="en-US"/>
        </w:rPr>
        <w:lastRenderedPageBreak/>
        <w:t xml:space="preserve">«а) на единовременную компенсационную денежную </w:t>
      </w:r>
      <w:proofErr w:type="gramStart"/>
      <w:r w:rsidRPr="00045C63">
        <w:rPr>
          <w:sz w:val="28"/>
          <w:szCs w:val="28"/>
          <w:lang w:eastAsia="en-US"/>
        </w:rPr>
        <w:t>выплату</w:t>
      </w:r>
      <w:proofErr w:type="gramEnd"/>
      <w:r w:rsidRPr="00045C63">
        <w:rPr>
          <w:sz w:val="28"/>
          <w:szCs w:val="28"/>
          <w:lang w:eastAsia="en-US"/>
        </w:rPr>
        <w:t xml:space="preserve"> на оплату платных медицинских услуг</w:t>
      </w:r>
      <w:r w:rsidRPr="00045C63">
        <w:rPr>
          <w:sz w:val="28"/>
          <w:szCs w:val="28"/>
        </w:rPr>
        <w:t xml:space="preserve">, оказываемых медицинскими организациями, участвующими в реализации </w:t>
      </w:r>
      <w:hyperlink r:id="rId7" w:history="1">
        <w:r w:rsidRPr="00045C63">
          <w:rPr>
            <w:color w:val="000000" w:themeColor="text1"/>
            <w:sz w:val="28"/>
            <w:szCs w:val="28"/>
          </w:rPr>
          <w:t>программы</w:t>
        </w:r>
      </w:hyperlink>
      <w:r w:rsidRPr="00045C63">
        <w:rPr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про</w:t>
      </w:r>
      <w:r w:rsidR="00045C63">
        <w:rPr>
          <w:sz w:val="28"/>
          <w:szCs w:val="28"/>
        </w:rPr>
        <w:t>граммами, устанавливаемую за счё</w:t>
      </w:r>
      <w:r w:rsidRPr="00045C63">
        <w:rPr>
          <w:sz w:val="28"/>
          <w:szCs w:val="28"/>
        </w:rPr>
        <w:t>т средств бюджета городского округа Тольятти в размере фактических расходов, но не более 10</w:t>
      </w:r>
      <w:r w:rsidR="00045C63">
        <w:rPr>
          <w:sz w:val="28"/>
          <w:szCs w:val="28"/>
        </w:rPr>
        <w:t xml:space="preserve"> </w:t>
      </w:r>
      <w:r w:rsidRPr="00045C63">
        <w:rPr>
          <w:sz w:val="28"/>
          <w:szCs w:val="28"/>
        </w:rPr>
        <w:t>000 рублей в год в порядке, утверждаемом мэрией городского округа Тольятти</w:t>
      </w:r>
      <w:proofErr w:type="gramStart"/>
      <w:r w:rsidRPr="00045C63">
        <w:rPr>
          <w:sz w:val="28"/>
          <w:szCs w:val="28"/>
        </w:rPr>
        <w:t>;»</w:t>
      </w:r>
      <w:proofErr w:type="gramEnd"/>
      <w:r w:rsidR="001B35DB">
        <w:rPr>
          <w:sz w:val="28"/>
          <w:szCs w:val="28"/>
        </w:rPr>
        <w:t>.</w:t>
      </w:r>
    </w:p>
    <w:p w:rsidR="0032188A" w:rsidRPr="00045C63" w:rsidRDefault="0032188A" w:rsidP="001B35DB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В пункте 3.6 Положения слово «города» заменить словами «городского округа».</w:t>
      </w:r>
    </w:p>
    <w:p w:rsidR="0032188A" w:rsidRPr="00045C63" w:rsidRDefault="0032188A" w:rsidP="001B35DB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Пункт 3.7 Положения изложить в следующей редакции:</w:t>
      </w:r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«3.7. Погр</w:t>
      </w:r>
      <w:r w:rsidR="00045C63">
        <w:rPr>
          <w:sz w:val="28"/>
          <w:szCs w:val="28"/>
        </w:rPr>
        <w:t>ебение умершего (погибшего) Почё</w:t>
      </w:r>
      <w:r w:rsidRPr="00045C63">
        <w:rPr>
          <w:sz w:val="28"/>
          <w:szCs w:val="28"/>
        </w:rPr>
        <w:t xml:space="preserve">тного гражданина городского округа Тольятти производится с почестями. На </w:t>
      </w:r>
      <w:r w:rsidR="00045C63">
        <w:rPr>
          <w:sz w:val="28"/>
          <w:szCs w:val="28"/>
        </w:rPr>
        <w:t>могиле умершего (погибшего) Почё</w:t>
      </w:r>
      <w:r w:rsidRPr="00045C63">
        <w:rPr>
          <w:sz w:val="28"/>
          <w:szCs w:val="28"/>
        </w:rPr>
        <w:t>тного гражданина городского округа Тольятти устанавливается надгробный памятник. Н</w:t>
      </w:r>
      <w:r w:rsidR="001B35DB">
        <w:rPr>
          <w:sz w:val="28"/>
          <w:szCs w:val="28"/>
        </w:rPr>
        <w:t>а фасаде дома, где проживал Почё</w:t>
      </w:r>
      <w:r w:rsidRPr="00045C63">
        <w:rPr>
          <w:sz w:val="28"/>
          <w:szCs w:val="28"/>
        </w:rPr>
        <w:t>тный гражданин городского округа Тольятти, устанавливается мемориальная доска.</w:t>
      </w:r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C63">
        <w:rPr>
          <w:sz w:val="28"/>
          <w:szCs w:val="28"/>
        </w:rPr>
        <w:t>Погр</w:t>
      </w:r>
      <w:r w:rsidR="001B35DB">
        <w:rPr>
          <w:sz w:val="28"/>
          <w:szCs w:val="28"/>
        </w:rPr>
        <w:t>ебение умершего (погибшего) Почё</w:t>
      </w:r>
      <w:r w:rsidRPr="00045C63">
        <w:rPr>
          <w:sz w:val="28"/>
          <w:szCs w:val="28"/>
        </w:rPr>
        <w:t xml:space="preserve">тного гражданина городского округа Тольятти, изготовление и установка надгробного памятника на </w:t>
      </w:r>
      <w:r w:rsidR="001B35DB">
        <w:rPr>
          <w:sz w:val="28"/>
          <w:szCs w:val="28"/>
        </w:rPr>
        <w:t>могиле умершего (погибшего) Почё</w:t>
      </w:r>
      <w:r w:rsidRPr="00045C63">
        <w:rPr>
          <w:sz w:val="28"/>
          <w:szCs w:val="28"/>
        </w:rPr>
        <w:t>тного гражданина городского округа Тольятти, изготовление и установка мемориальной доски н</w:t>
      </w:r>
      <w:r w:rsidR="001B35DB">
        <w:rPr>
          <w:sz w:val="28"/>
          <w:szCs w:val="28"/>
        </w:rPr>
        <w:t>а фасаде дома, где проживал Почё</w:t>
      </w:r>
      <w:r w:rsidRPr="00045C63">
        <w:rPr>
          <w:sz w:val="28"/>
          <w:szCs w:val="28"/>
        </w:rPr>
        <w:t>тный гражданин городского окру</w:t>
      </w:r>
      <w:r w:rsidR="001B35DB">
        <w:rPr>
          <w:sz w:val="28"/>
          <w:szCs w:val="28"/>
        </w:rPr>
        <w:t>га Тольятти, производятся за счё</w:t>
      </w:r>
      <w:r w:rsidRPr="00045C63">
        <w:rPr>
          <w:sz w:val="28"/>
          <w:szCs w:val="28"/>
        </w:rPr>
        <w:t>т средств бюджета городского округа Тольятти в порядке, утверждаемом мэрией городского округа Тольятти.</w:t>
      </w:r>
      <w:proofErr w:type="gramEnd"/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C63">
        <w:rPr>
          <w:sz w:val="28"/>
          <w:szCs w:val="28"/>
        </w:rPr>
        <w:t>В случае осуществления погр</w:t>
      </w:r>
      <w:r w:rsidR="001B35DB">
        <w:rPr>
          <w:sz w:val="28"/>
          <w:szCs w:val="28"/>
        </w:rPr>
        <w:t>ебения умершего (погибшего) Почё</w:t>
      </w:r>
      <w:r w:rsidRPr="00045C63">
        <w:rPr>
          <w:sz w:val="28"/>
          <w:szCs w:val="28"/>
        </w:rPr>
        <w:t xml:space="preserve">тного гражданина городского округа Тольятти, изготовления и установки надгробного памятника на </w:t>
      </w:r>
      <w:r w:rsidR="001B35DB">
        <w:rPr>
          <w:sz w:val="28"/>
          <w:szCs w:val="28"/>
        </w:rPr>
        <w:t>могиле умершего (погибшего) Почё</w:t>
      </w:r>
      <w:r w:rsidRPr="00045C63">
        <w:rPr>
          <w:sz w:val="28"/>
          <w:szCs w:val="28"/>
        </w:rPr>
        <w:t xml:space="preserve">тного гражданина городского округа Тольятти его родственниками за </w:t>
      </w:r>
      <w:r w:rsidR="001B35DB">
        <w:rPr>
          <w:sz w:val="28"/>
          <w:szCs w:val="28"/>
        </w:rPr>
        <w:t>счё</w:t>
      </w:r>
      <w:r w:rsidRPr="00045C63">
        <w:rPr>
          <w:sz w:val="28"/>
          <w:szCs w:val="28"/>
        </w:rPr>
        <w:t>т собственных средств, указанные родств</w:t>
      </w:r>
      <w:r w:rsidR="001B35DB">
        <w:rPr>
          <w:sz w:val="28"/>
          <w:szCs w:val="28"/>
        </w:rPr>
        <w:t>енники умершего (погибшего) Почё</w:t>
      </w:r>
      <w:r w:rsidRPr="00045C63">
        <w:rPr>
          <w:sz w:val="28"/>
          <w:szCs w:val="28"/>
        </w:rPr>
        <w:t>тного гражданина городского округа Тольятти, имеют право на компенсационные выплаты в размерах и в порядке, утверждаемыми мэрией городского округа Тольятти.».</w:t>
      </w:r>
      <w:proofErr w:type="gramEnd"/>
    </w:p>
    <w:p w:rsidR="0032188A" w:rsidRPr="00045C63" w:rsidRDefault="0032188A" w:rsidP="00045C6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63">
        <w:rPr>
          <w:rFonts w:ascii="Times New Roman" w:hAnsi="Times New Roman" w:cs="Times New Roman"/>
          <w:sz w:val="28"/>
          <w:szCs w:val="28"/>
        </w:rPr>
        <w:t>Пункт 3.8 Положения изложить в следующей редакции:</w:t>
      </w:r>
    </w:p>
    <w:p w:rsidR="0032188A" w:rsidRPr="00045C63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63">
        <w:rPr>
          <w:sz w:val="28"/>
          <w:szCs w:val="28"/>
        </w:rPr>
        <w:t xml:space="preserve">«3.8. Расходы органов местного самоуправления, связанные с реализацией настоящего </w:t>
      </w:r>
      <w:r w:rsidR="001B35DB">
        <w:rPr>
          <w:sz w:val="28"/>
          <w:szCs w:val="28"/>
        </w:rPr>
        <w:t>Положения, осуществляются за счё</w:t>
      </w:r>
      <w:r w:rsidRPr="00045C63">
        <w:rPr>
          <w:sz w:val="28"/>
          <w:szCs w:val="28"/>
        </w:rPr>
        <w:t>т средств бюджета городского округа Тольятти</w:t>
      </w:r>
      <w:proofErr w:type="gramStart"/>
      <w:r w:rsidRPr="00045C63">
        <w:rPr>
          <w:sz w:val="28"/>
          <w:szCs w:val="28"/>
        </w:rPr>
        <w:t>.».</w:t>
      </w:r>
      <w:proofErr w:type="gramEnd"/>
    </w:p>
    <w:p w:rsidR="0032188A" w:rsidRPr="00045C63" w:rsidRDefault="001B35DB" w:rsidP="001B35D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32188A" w:rsidRPr="00045C63">
        <w:rPr>
          <w:sz w:val="28"/>
          <w:szCs w:val="28"/>
        </w:rPr>
        <w:t>4 к Положению:</w:t>
      </w:r>
    </w:p>
    <w:p w:rsidR="0032188A" w:rsidRPr="00045C63" w:rsidRDefault="0032188A" w:rsidP="001B35DB">
      <w:pPr>
        <w:pStyle w:val="a3"/>
        <w:numPr>
          <w:ilvl w:val="1"/>
          <w:numId w:val="7"/>
        </w:numPr>
        <w:tabs>
          <w:tab w:val="clear" w:pos="1068"/>
          <w:tab w:val="num" w:pos="0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В абзаце 2 слова «полный цветной герб городского округа Тольятти» заменить словами «герб городского округа Тольятти в полной версии (далее – Герб) в цветном изображении».</w:t>
      </w:r>
    </w:p>
    <w:p w:rsidR="0032188A" w:rsidRPr="00045C63" w:rsidRDefault="0032188A" w:rsidP="001B35DB">
      <w:pPr>
        <w:pStyle w:val="a3"/>
        <w:numPr>
          <w:ilvl w:val="1"/>
          <w:numId w:val="7"/>
        </w:numPr>
        <w:tabs>
          <w:tab w:val="clear" w:pos="1068"/>
          <w:tab w:val="num" w:pos="0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В абзаце 4 исключить слова «городского округа Тольятти».</w:t>
      </w:r>
    </w:p>
    <w:p w:rsidR="0032188A" w:rsidRDefault="0032188A" w:rsidP="001B35DB">
      <w:pPr>
        <w:pStyle w:val="a3"/>
        <w:numPr>
          <w:ilvl w:val="1"/>
          <w:numId w:val="7"/>
        </w:numPr>
        <w:tabs>
          <w:tab w:val="clear" w:pos="1068"/>
          <w:tab w:val="num" w:pos="0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В абзаце 8 слова «полный герб города» заменить словом «Герб».</w:t>
      </w:r>
    </w:p>
    <w:p w:rsidR="001B35DB" w:rsidRPr="00045C63" w:rsidRDefault="001B35DB" w:rsidP="001B35DB">
      <w:pPr>
        <w:pStyle w:val="a3"/>
        <w:tabs>
          <w:tab w:val="left" w:pos="1276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2188A" w:rsidRPr="00045C63" w:rsidRDefault="0032188A" w:rsidP="001B35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C63">
        <w:rPr>
          <w:sz w:val="28"/>
          <w:szCs w:val="28"/>
        </w:rPr>
        <w:lastRenderedPageBreak/>
        <w:t xml:space="preserve">Опубликовать настоящее решение в газете «Городские ведомости». </w:t>
      </w:r>
    </w:p>
    <w:p w:rsidR="0032188A" w:rsidRPr="00045C63" w:rsidRDefault="0032188A" w:rsidP="001B35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C63">
        <w:rPr>
          <w:sz w:val="28"/>
          <w:szCs w:val="28"/>
        </w:rPr>
        <w:t>Настоящее решение вступает в силу после опубликования.</w:t>
      </w:r>
    </w:p>
    <w:p w:rsidR="0032188A" w:rsidRPr="00045C63" w:rsidRDefault="0032188A" w:rsidP="001B35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C63">
        <w:rPr>
          <w:sz w:val="28"/>
          <w:szCs w:val="28"/>
        </w:rPr>
        <w:t>Контроль за</w:t>
      </w:r>
      <w:proofErr w:type="gramEnd"/>
      <w:r w:rsidRPr="00045C63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1B35DB" w:rsidRPr="001B35DB">
        <w:rPr>
          <w:sz w:val="28"/>
          <w:szCs w:val="28"/>
        </w:rPr>
        <w:t xml:space="preserve"> </w:t>
      </w:r>
      <w:r w:rsidR="001B35DB" w:rsidRPr="00045C63">
        <w:rPr>
          <w:sz w:val="28"/>
          <w:szCs w:val="28"/>
        </w:rPr>
        <w:t>В.И.</w:t>
      </w:r>
      <w:r w:rsidRPr="00045C63">
        <w:rPr>
          <w:sz w:val="28"/>
          <w:szCs w:val="28"/>
        </w:rPr>
        <w:t>).</w:t>
      </w:r>
    </w:p>
    <w:p w:rsidR="0032188A" w:rsidRDefault="0032188A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Default="001B35DB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Pr="00045C63" w:rsidRDefault="001B35DB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Pr="00045C63" w:rsidRDefault="0032188A" w:rsidP="00045C63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5C63">
        <w:rPr>
          <w:sz w:val="28"/>
          <w:szCs w:val="28"/>
        </w:rPr>
        <w:t xml:space="preserve">Мэр                                                                           </w:t>
      </w:r>
      <w:r w:rsidR="001B35DB">
        <w:rPr>
          <w:sz w:val="28"/>
          <w:szCs w:val="28"/>
        </w:rPr>
        <w:t xml:space="preserve">                             С.И.</w:t>
      </w:r>
      <w:r w:rsidRPr="00045C63">
        <w:rPr>
          <w:sz w:val="28"/>
          <w:szCs w:val="28"/>
        </w:rPr>
        <w:t>Андреев</w:t>
      </w:r>
    </w:p>
    <w:p w:rsidR="0032188A" w:rsidRDefault="0032188A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Default="001B35DB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Pr="00045C63" w:rsidRDefault="001B35DB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Pr="00045C63" w:rsidRDefault="001B35DB" w:rsidP="00045C63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  <w:t xml:space="preserve">            А.В.Денисов</w:t>
      </w:r>
    </w:p>
    <w:p w:rsidR="0032188A" w:rsidRPr="00045C63" w:rsidRDefault="0032188A" w:rsidP="00045C63">
      <w:pPr>
        <w:rPr>
          <w:sz w:val="28"/>
          <w:szCs w:val="28"/>
        </w:rPr>
      </w:pPr>
    </w:p>
    <w:sectPr w:rsidR="0032188A" w:rsidRPr="00045C63" w:rsidSect="001B35D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DB" w:rsidRDefault="001B35DB" w:rsidP="001B35DB">
      <w:r>
        <w:separator/>
      </w:r>
    </w:p>
  </w:endnote>
  <w:endnote w:type="continuationSeparator" w:id="1">
    <w:p w:rsidR="001B35DB" w:rsidRDefault="001B35DB" w:rsidP="001B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DB" w:rsidRDefault="001B35DB" w:rsidP="001B35DB">
      <w:r>
        <w:separator/>
      </w:r>
    </w:p>
  </w:footnote>
  <w:footnote w:type="continuationSeparator" w:id="1">
    <w:p w:rsidR="001B35DB" w:rsidRDefault="001B35DB" w:rsidP="001B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860"/>
      <w:docPartObj>
        <w:docPartGallery w:val="Page Numbers (Top of Page)"/>
        <w:docPartUnique/>
      </w:docPartObj>
    </w:sdtPr>
    <w:sdtContent>
      <w:p w:rsidR="001B35DB" w:rsidRDefault="005E612A">
        <w:pPr>
          <w:pStyle w:val="a6"/>
          <w:jc w:val="center"/>
        </w:pPr>
        <w:fldSimple w:instr=" PAGE   \* MERGEFORMAT ">
          <w:r w:rsidR="00F37A3F">
            <w:rPr>
              <w:noProof/>
            </w:rPr>
            <w:t>3</w:t>
          </w:r>
        </w:fldSimple>
      </w:p>
    </w:sdtContent>
  </w:sdt>
  <w:p w:rsidR="001B35DB" w:rsidRDefault="001B35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14EC534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5E34C47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260540B0"/>
    <w:multiLevelType w:val="multilevel"/>
    <w:tmpl w:val="AED254C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4">
    <w:nsid w:val="396A4BCB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3B821D3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508C52B6"/>
    <w:multiLevelType w:val="multilevel"/>
    <w:tmpl w:val="BE3220C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7">
    <w:nsid w:val="53192685"/>
    <w:multiLevelType w:val="multilevel"/>
    <w:tmpl w:val="E48C775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5560138B"/>
    <w:multiLevelType w:val="multilevel"/>
    <w:tmpl w:val="D2EC4F5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9">
    <w:nsid w:val="5A2931E6"/>
    <w:multiLevelType w:val="multilevel"/>
    <w:tmpl w:val="C82A8E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92"/>
    <w:rsid w:val="00045C63"/>
    <w:rsid w:val="000502E6"/>
    <w:rsid w:val="00056E17"/>
    <w:rsid w:val="00065B24"/>
    <w:rsid w:val="00075C3C"/>
    <w:rsid w:val="0009677D"/>
    <w:rsid w:val="000A255A"/>
    <w:rsid w:val="000A3B30"/>
    <w:rsid w:val="000C10CB"/>
    <w:rsid w:val="000C1C2E"/>
    <w:rsid w:val="000D072A"/>
    <w:rsid w:val="000E1324"/>
    <w:rsid w:val="000E6D29"/>
    <w:rsid w:val="000E7DD2"/>
    <w:rsid w:val="000F336E"/>
    <w:rsid w:val="000F6AED"/>
    <w:rsid w:val="00103811"/>
    <w:rsid w:val="0011016C"/>
    <w:rsid w:val="00135ED0"/>
    <w:rsid w:val="0013722B"/>
    <w:rsid w:val="001555B3"/>
    <w:rsid w:val="00155663"/>
    <w:rsid w:val="00155808"/>
    <w:rsid w:val="00185D08"/>
    <w:rsid w:val="0019147B"/>
    <w:rsid w:val="001947C2"/>
    <w:rsid w:val="001A34F4"/>
    <w:rsid w:val="001B165A"/>
    <w:rsid w:val="001B30A8"/>
    <w:rsid w:val="001B35DB"/>
    <w:rsid w:val="001B469B"/>
    <w:rsid w:val="001C7EBE"/>
    <w:rsid w:val="001D33AD"/>
    <w:rsid w:val="001E0906"/>
    <w:rsid w:val="001E34D0"/>
    <w:rsid w:val="00213FBB"/>
    <w:rsid w:val="00220B68"/>
    <w:rsid w:val="0022306B"/>
    <w:rsid w:val="00235CFC"/>
    <w:rsid w:val="00241F33"/>
    <w:rsid w:val="002426A4"/>
    <w:rsid w:val="002566B0"/>
    <w:rsid w:val="00261A80"/>
    <w:rsid w:val="00273E95"/>
    <w:rsid w:val="00283257"/>
    <w:rsid w:val="00291C41"/>
    <w:rsid w:val="002A2552"/>
    <w:rsid w:val="002A5650"/>
    <w:rsid w:val="002A73EF"/>
    <w:rsid w:val="002D2C05"/>
    <w:rsid w:val="002D3492"/>
    <w:rsid w:val="002D6F14"/>
    <w:rsid w:val="002F0B15"/>
    <w:rsid w:val="00301289"/>
    <w:rsid w:val="00305EF0"/>
    <w:rsid w:val="0032188A"/>
    <w:rsid w:val="00322C62"/>
    <w:rsid w:val="00327F31"/>
    <w:rsid w:val="00335CA1"/>
    <w:rsid w:val="00344BDB"/>
    <w:rsid w:val="003474A4"/>
    <w:rsid w:val="00356F27"/>
    <w:rsid w:val="00357AF6"/>
    <w:rsid w:val="00380694"/>
    <w:rsid w:val="00381526"/>
    <w:rsid w:val="00391EAD"/>
    <w:rsid w:val="00394FAB"/>
    <w:rsid w:val="00395AA7"/>
    <w:rsid w:val="003B353A"/>
    <w:rsid w:val="003D15AD"/>
    <w:rsid w:val="003D2E27"/>
    <w:rsid w:val="003D3604"/>
    <w:rsid w:val="003E440A"/>
    <w:rsid w:val="003F4EFA"/>
    <w:rsid w:val="004058A5"/>
    <w:rsid w:val="00411845"/>
    <w:rsid w:val="0042429D"/>
    <w:rsid w:val="00430F66"/>
    <w:rsid w:val="00442C5C"/>
    <w:rsid w:val="004567CC"/>
    <w:rsid w:val="00460D18"/>
    <w:rsid w:val="00467CE3"/>
    <w:rsid w:val="00473374"/>
    <w:rsid w:val="004A4376"/>
    <w:rsid w:val="004A46F8"/>
    <w:rsid w:val="004B55FF"/>
    <w:rsid w:val="004B6509"/>
    <w:rsid w:val="004B651A"/>
    <w:rsid w:val="004D37BC"/>
    <w:rsid w:val="004D4602"/>
    <w:rsid w:val="004E546D"/>
    <w:rsid w:val="004F4B77"/>
    <w:rsid w:val="004F7B0A"/>
    <w:rsid w:val="005022E3"/>
    <w:rsid w:val="005041AA"/>
    <w:rsid w:val="005064E3"/>
    <w:rsid w:val="00507720"/>
    <w:rsid w:val="00507D96"/>
    <w:rsid w:val="00515856"/>
    <w:rsid w:val="00526F11"/>
    <w:rsid w:val="00532C27"/>
    <w:rsid w:val="00537226"/>
    <w:rsid w:val="005374AC"/>
    <w:rsid w:val="005425C7"/>
    <w:rsid w:val="00544665"/>
    <w:rsid w:val="00544F2E"/>
    <w:rsid w:val="00555772"/>
    <w:rsid w:val="00557179"/>
    <w:rsid w:val="00575F4F"/>
    <w:rsid w:val="0057799A"/>
    <w:rsid w:val="00580D30"/>
    <w:rsid w:val="00581007"/>
    <w:rsid w:val="00595C14"/>
    <w:rsid w:val="005A783A"/>
    <w:rsid w:val="005C4EA7"/>
    <w:rsid w:val="005D297F"/>
    <w:rsid w:val="005D4594"/>
    <w:rsid w:val="005D5A1C"/>
    <w:rsid w:val="005E612A"/>
    <w:rsid w:val="006000CA"/>
    <w:rsid w:val="006072A6"/>
    <w:rsid w:val="006132B6"/>
    <w:rsid w:val="00633CDC"/>
    <w:rsid w:val="006376DC"/>
    <w:rsid w:val="006513D3"/>
    <w:rsid w:val="00660EF1"/>
    <w:rsid w:val="00674AD0"/>
    <w:rsid w:val="00676565"/>
    <w:rsid w:val="006B32B5"/>
    <w:rsid w:val="006D3011"/>
    <w:rsid w:val="006D4376"/>
    <w:rsid w:val="006D68F1"/>
    <w:rsid w:val="006E04AE"/>
    <w:rsid w:val="006F304B"/>
    <w:rsid w:val="0071126D"/>
    <w:rsid w:val="00721492"/>
    <w:rsid w:val="0072315A"/>
    <w:rsid w:val="00731D56"/>
    <w:rsid w:val="00736E59"/>
    <w:rsid w:val="00751EF0"/>
    <w:rsid w:val="00753016"/>
    <w:rsid w:val="007567BD"/>
    <w:rsid w:val="00764830"/>
    <w:rsid w:val="00771E4D"/>
    <w:rsid w:val="00772A1A"/>
    <w:rsid w:val="00783EDC"/>
    <w:rsid w:val="007A3586"/>
    <w:rsid w:val="007B4D16"/>
    <w:rsid w:val="007D5C58"/>
    <w:rsid w:val="007E0CE5"/>
    <w:rsid w:val="007F1375"/>
    <w:rsid w:val="00820514"/>
    <w:rsid w:val="0083543B"/>
    <w:rsid w:val="008427DD"/>
    <w:rsid w:val="00842D3C"/>
    <w:rsid w:val="008470D5"/>
    <w:rsid w:val="00867B49"/>
    <w:rsid w:val="008769E7"/>
    <w:rsid w:val="008865C8"/>
    <w:rsid w:val="00896F7B"/>
    <w:rsid w:val="008C1B9A"/>
    <w:rsid w:val="008C667B"/>
    <w:rsid w:val="008E07C1"/>
    <w:rsid w:val="008F0933"/>
    <w:rsid w:val="008F36AA"/>
    <w:rsid w:val="008F5D10"/>
    <w:rsid w:val="009016C8"/>
    <w:rsid w:val="0090208D"/>
    <w:rsid w:val="00904691"/>
    <w:rsid w:val="00914FD1"/>
    <w:rsid w:val="00915182"/>
    <w:rsid w:val="009209FD"/>
    <w:rsid w:val="0092789A"/>
    <w:rsid w:val="00963A0F"/>
    <w:rsid w:val="0098500C"/>
    <w:rsid w:val="009900B7"/>
    <w:rsid w:val="00994B3E"/>
    <w:rsid w:val="009A21BF"/>
    <w:rsid w:val="009B0508"/>
    <w:rsid w:val="009B16E3"/>
    <w:rsid w:val="009B294F"/>
    <w:rsid w:val="009E06DF"/>
    <w:rsid w:val="009E2B0A"/>
    <w:rsid w:val="009E6AC3"/>
    <w:rsid w:val="00A036F6"/>
    <w:rsid w:val="00A11526"/>
    <w:rsid w:val="00A24A92"/>
    <w:rsid w:val="00A3197C"/>
    <w:rsid w:val="00A37795"/>
    <w:rsid w:val="00A6074E"/>
    <w:rsid w:val="00A62D04"/>
    <w:rsid w:val="00A8107E"/>
    <w:rsid w:val="00AC5D4D"/>
    <w:rsid w:val="00AE4122"/>
    <w:rsid w:val="00AE548F"/>
    <w:rsid w:val="00AE6C20"/>
    <w:rsid w:val="00AF2365"/>
    <w:rsid w:val="00B0271D"/>
    <w:rsid w:val="00B1365A"/>
    <w:rsid w:val="00B24663"/>
    <w:rsid w:val="00B25017"/>
    <w:rsid w:val="00B55E7E"/>
    <w:rsid w:val="00B665EB"/>
    <w:rsid w:val="00B83609"/>
    <w:rsid w:val="00B839B1"/>
    <w:rsid w:val="00B8526C"/>
    <w:rsid w:val="00B9079D"/>
    <w:rsid w:val="00B91410"/>
    <w:rsid w:val="00B9770E"/>
    <w:rsid w:val="00B97F9C"/>
    <w:rsid w:val="00BA232D"/>
    <w:rsid w:val="00BB015B"/>
    <w:rsid w:val="00BB7647"/>
    <w:rsid w:val="00BC202D"/>
    <w:rsid w:val="00BC6A9F"/>
    <w:rsid w:val="00BD2E11"/>
    <w:rsid w:val="00BD3905"/>
    <w:rsid w:val="00BF0F1A"/>
    <w:rsid w:val="00BF1195"/>
    <w:rsid w:val="00C00FFC"/>
    <w:rsid w:val="00C1560B"/>
    <w:rsid w:val="00C22161"/>
    <w:rsid w:val="00C3323C"/>
    <w:rsid w:val="00C34F09"/>
    <w:rsid w:val="00C4791D"/>
    <w:rsid w:val="00C52190"/>
    <w:rsid w:val="00C62403"/>
    <w:rsid w:val="00C62C9B"/>
    <w:rsid w:val="00C64AAA"/>
    <w:rsid w:val="00C71B6C"/>
    <w:rsid w:val="00C72D07"/>
    <w:rsid w:val="00C95BAA"/>
    <w:rsid w:val="00C97E04"/>
    <w:rsid w:val="00CB1D52"/>
    <w:rsid w:val="00CB4333"/>
    <w:rsid w:val="00CB6C6A"/>
    <w:rsid w:val="00CC0434"/>
    <w:rsid w:val="00CC62FA"/>
    <w:rsid w:val="00CC791E"/>
    <w:rsid w:val="00CE07B8"/>
    <w:rsid w:val="00CF26B4"/>
    <w:rsid w:val="00CF3BB2"/>
    <w:rsid w:val="00CF5233"/>
    <w:rsid w:val="00CF623A"/>
    <w:rsid w:val="00D118DD"/>
    <w:rsid w:val="00D320A8"/>
    <w:rsid w:val="00D34B0B"/>
    <w:rsid w:val="00D92C3C"/>
    <w:rsid w:val="00D949A6"/>
    <w:rsid w:val="00D96EDF"/>
    <w:rsid w:val="00DA225C"/>
    <w:rsid w:val="00DB2EE3"/>
    <w:rsid w:val="00DC00F1"/>
    <w:rsid w:val="00DC3C28"/>
    <w:rsid w:val="00DC3EE3"/>
    <w:rsid w:val="00DC48C9"/>
    <w:rsid w:val="00DD60F2"/>
    <w:rsid w:val="00DF379D"/>
    <w:rsid w:val="00E070B3"/>
    <w:rsid w:val="00E33821"/>
    <w:rsid w:val="00E4405F"/>
    <w:rsid w:val="00E5013E"/>
    <w:rsid w:val="00E671E5"/>
    <w:rsid w:val="00E7111D"/>
    <w:rsid w:val="00E802EA"/>
    <w:rsid w:val="00E817F8"/>
    <w:rsid w:val="00E83649"/>
    <w:rsid w:val="00EC2BE1"/>
    <w:rsid w:val="00ED17B3"/>
    <w:rsid w:val="00EF4711"/>
    <w:rsid w:val="00F06B59"/>
    <w:rsid w:val="00F06FD7"/>
    <w:rsid w:val="00F37A3F"/>
    <w:rsid w:val="00F45E84"/>
    <w:rsid w:val="00F46BA1"/>
    <w:rsid w:val="00F51DA4"/>
    <w:rsid w:val="00F541A8"/>
    <w:rsid w:val="00F54A13"/>
    <w:rsid w:val="00F605EB"/>
    <w:rsid w:val="00F83300"/>
    <w:rsid w:val="00F85A86"/>
    <w:rsid w:val="00F862DD"/>
    <w:rsid w:val="00FA5B82"/>
    <w:rsid w:val="00FD0555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3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5DB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B3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5D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4116821BB1791CBE8FE9B6099E18318A8FA7808CB5E2B17498D17B08F220B4D555AF1C061641AT7J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bezlepkinaev</dc:creator>
  <cp:keywords/>
  <dc:description/>
  <cp:lastModifiedBy>Жесткова</cp:lastModifiedBy>
  <cp:revision>4</cp:revision>
  <cp:lastPrinted>2013-02-05T10:23:00Z</cp:lastPrinted>
  <dcterms:created xsi:type="dcterms:W3CDTF">2013-02-05T10:09:00Z</dcterms:created>
  <dcterms:modified xsi:type="dcterms:W3CDTF">2013-02-05T12:19:00Z</dcterms:modified>
</cp:coreProperties>
</file>