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46" w:rsidRP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P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P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Pr="00BF6E46" w:rsidRDefault="00BF6E46" w:rsidP="00BF6AA8">
      <w:pPr>
        <w:ind w:left="709" w:right="850" w:firstLine="709"/>
        <w:jc w:val="center"/>
        <w:rPr>
          <w:b w:val="0"/>
          <w:sz w:val="28"/>
          <w:szCs w:val="28"/>
        </w:rPr>
      </w:pPr>
    </w:p>
    <w:p w:rsidR="00BF6E46" w:rsidRDefault="00BF6E46" w:rsidP="00BF6E4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</w:t>
      </w:r>
      <w:r w:rsidR="00BF6AA8" w:rsidRPr="00BF6E46">
        <w:rPr>
          <w:sz w:val="28"/>
          <w:szCs w:val="28"/>
        </w:rPr>
        <w:t>полнении решения Д</w:t>
      </w:r>
      <w:r>
        <w:rPr>
          <w:sz w:val="28"/>
          <w:szCs w:val="28"/>
        </w:rPr>
        <w:t xml:space="preserve">умы городского округа Тольятти </w:t>
      </w:r>
    </w:p>
    <w:p w:rsidR="00BF6AA8" w:rsidRPr="00BF6E46" w:rsidRDefault="00BF6AA8" w:rsidP="00BF6E46">
      <w:pPr>
        <w:jc w:val="center"/>
        <w:rPr>
          <w:b w:val="0"/>
          <w:strike/>
          <w:sz w:val="28"/>
          <w:szCs w:val="28"/>
        </w:rPr>
      </w:pPr>
      <w:r w:rsidRPr="00BF6E46">
        <w:rPr>
          <w:sz w:val="28"/>
          <w:szCs w:val="28"/>
        </w:rPr>
        <w:t xml:space="preserve">от 23.04.2014 №307 «О техническом задании на корректировку Стратегического плана развития городского округа Тольятти </w:t>
      </w:r>
      <w:r w:rsidR="00BF6E46">
        <w:rPr>
          <w:sz w:val="28"/>
          <w:szCs w:val="28"/>
        </w:rPr>
        <w:br/>
        <w:t>до 2020 года, утверждё</w:t>
      </w:r>
      <w:r w:rsidRPr="00BF6E46">
        <w:rPr>
          <w:sz w:val="28"/>
          <w:szCs w:val="28"/>
        </w:rPr>
        <w:t xml:space="preserve">нного решением Думы </w:t>
      </w:r>
      <w:r w:rsidR="00BF6E46">
        <w:rPr>
          <w:sz w:val="28"/>
          <w:szCs w:val="28"/>
        </w:rPr>
        <w:br/>
      </w:r>
      <w:r w:rsidRPr="00BF6E46">
        <w:rPr>
          <w:sz w:val="28"/>
          <w:szCs w:val="28"/>
        </w:rPr>
        <w:t>городского округа Тольятти от 07.07.2010 №335»</w:t>
      </w:r>
    </w:p>
    <w:p w:rsidR="00BF6AA8" w:rsidRPr="00BF6E46" w:rsidRDefault="00BF6AA8" w:rsidP="00BF6E46">
      <w:pPr>
        <w:ind w:firstLine="709"/>
        <w:jc w:val="center"/>
        <w:rPr>
          <w:b w:val="0"/>
          <w:sz w:val="28"/>
          <w:szCs w:val="28"/>
        </w:rPr>
      </w:pPr>
    </w:p>
    <w:p w:rsidR="00BF6AA8" w:rsidRPr="00BF6E46" w:rsidRDefault="00BF6AA8" w:rsidP="00BF6E46">
      <w:pPr>
        <w:ind w:firstLine="709"/>
        <w:jc w:val="center"/>
        <w:rPr>
          <w:b w:val="0"/>
          <w:sz w:val="28"/>
          <w:szCs w:val="28"/>
        </w:rPr>
      </w:pPr>
    </w:p>
    <w:p w:rsidR="00BF6AA8" w:rsidRPr="00BF6E46" w:rsidRDefault="00BF6AA8" w:rsidP="00BF6E46">
      <w:pPr>
        <w:ind w:firstLine="709"/>
        <w:jc w:val="center"/>
        <w:rPr>
          <w:b w:val="0"/>
          <w:sz w:val="28"/>
          <w:szCs w:val="28"/>
        </w:rPr>
      </w:pPr>
    </w:p>
    <w:p w:rsidR="00BF6AA8" w:rsidRPr="00BF6E46" w:rsidRDefault="00BF6AA8" w:rsidP="00BF6E46">
      <w:pPr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>Рассмотрев письмо мэ</w:t>
      </w:r>
      <w:r w:rsidR="00BF6E46">
        <w:rPr>
          <w:b w:val="0"/>
          <w:sz w:val="28"/>
          <w:szCs w:val="28"/>
        </w:rPr>
        <w:t>ра городского округа Тольятти о вы</w:t>
      </w:r>
      <w:r w:rsidRPr="00BF6E46">
        <w:rPr>
          <w:b w:val="0"/>
          <w:sz w:val="28"/>
          <w:szCs w:val="28"/>
        </w:rPr>
        <w:t xml:space="preserve">полнении решения Думы городского округа Тольятти от 23.04.2014 №307 </w:t>
      </w:r>
      <w:r w:rsidR="00013778">
        <w:rPr>
          <w:b w:val="0"/>
          <w:sz w:val="28"/>
          <w:szCs w:val="28"/>
        </w:rPr>
        <w:br/>
      </w:r>
      <w:r w:rsidRPr="00BF6E46">
        <w:rPr>
          <w:b w:val="0"/>
          <w:sz w:val="28"/>
          <w:szCs w:val="28"/>
        </w:rPr>
        <w:t>«О техническом задании на корректировку Стратегического плана развития городского округа Тольятти до 2020 года, ут</w:t>
      </w:r>
      <w:r w:rsidR="00013778">
        <w:rPr>
          <w:b w:val="0"/>
          <w:sz w:val="28"/>
          <w:szCs w:val="28"/>
        </w:rPr>
        <w:t>верждё</w:t>
      </w:r>
      <w:r w:rsidRPr="00BF6E46">
        <w:rPr>
          <w:b w:val="0"/>
          <w:sz w:val="28"/>
          <w:szCs w:val="28"/>
        </w:rPr>
        <w:t>нного решением Думы городского округа Тольятти от 07.07.2010 №335», Дума</w:t>
      </w:r>
    </w:p>
    <w:p w:rsidR="00BF6AA8" w:rsidRPr="00013778" w:rsidRDefault="00BF6AA8" w:rsidP="00BF6E46">
      <w:pPr>
        <w:ind w:firstLine="709"/>
        <w:jc w:val="both"/>
        <w:rPr>
          <w:b w:val="0"/>
        </w:rPr>
      </w:pPr>
    </w:p>
    <w:p w:rsidR="00BF6AA8" w:rsidRPr="00BF6E46" w:rsidRDefault="00BF6AA8" w:rsidP="00013778">
      <w:pPr>
        <w:jc w:val="center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>РЕШИЛА:</w:t>
      </w:r>
    </w:p>
    <w:p w:rsidR="00BF6AA8" w:rsidRPr="00013778" w:rsidRDefault="00BF6AA8" w:rsidP="00BF6E46">
      <w:pPr>
        <w:ind w:firstLine="709"/>
        <w:jc w:val="center"/>
        <w:rPr>
          <w:b w:val="0"/>
        </w:rPr>
      </w:pPr>
    </w:p>
    <w:p w:rsidR="00BF6AA8" w:rsidRPr="00BF6E46" w:rsidRDefault="00BF6AA8" w:rsidP="00BF6E46">
      <w:pPr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>1. Отметить:</w:t>
      </w:r>
    </w:p>
    <w:p w:rsidR="00BF6AA8" w:rsidRPr="00BF6E46" w:rsidRDefault="00BF6AA8" w:rsidP="00BF6E46">
      <w:pPr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 xml:space="preserve">1.1. </w:t>
      </w:r>
      <w:proofErr w:type="gramStart"/>
      <w:r w:rsidRPr="00BF6E46">
        <w:rPr>
          <w:b w:val="0"/>
          <w:sz w:val="28"/>
          <w:szCs w:val="28"/>
        </w:rPr>
        <w:t xml:space="preserve">Представленные мэром доводы, связанные с превышением полномочий Думы городского округа Тольятти при принятии решения </w:t>
      </w:r>
      <w:r w:rsidR="0074607B">
        <w:rPr>
          <w:b w:val="0"/>
          <w:sz w:val="28"/>
          <w:szCs w:val="28"/>
        </w:rPr>
        <w:br/>
      </w:r>
      <w:r w:rsidRPr="00BF6E46">
        <w:rPr>
          <w:b w:val="0"/>
          <w:sz w:val="28"/>
          <w:szCs w:val="28"/>
        </w:rPr>
        <w:t>Думы от 23.04.2014 №307 «О техническом задании на корректировку Стратегического плана развития городского округа</w:t>
      </w:r>
      <w:r w:rsidR="00013778">
        <w:rPr>
          <w:b w:val="0"/>
          <w:sz w:val="28"/>
          <w:szCs w:val="28"/>
        </w:rPr>
        <w:t xml:space="preserve"> Тольятти до 2020 года, утверждё</w:t>
      </w:r>
      <w:r w:rsidRPr="00BF6E46">
        <w:rPr>
          <w:b w:val="0"/>
          <w:sz w:val="28"/>
          <w:szCs w:val="28"/>
        </w:rPr>
        <w:t>нного решением Думы городского округа Тольятти о</w:t>
      </w:r>
      <w:r w:rsidR="00013778">
        <w:rPr>
          <w:b w:val="0"/>
          <w:sz w:val="28"/>
          <w:szCs w:val="28"/>
        </w:rPr>
        <w:t>т 07.07.2010 №335», являются не</w:t>
      </w:r>
      <w:r w:rsidRPr="00BF6E46">
        <w:rPr>
          <w:b w:val="0"/>
          <w:sz w:val="28"/>
          <w:szCs w:val="28"/>
        </w:rPr>
        <w:t>обоснованными, так как данное решение принято в соответствии с требованиями действующего законодательства, Устава городского округа Тольятти и Положения</w:t>
      </w:r>
      <w:proofErr w:type="gramEnd"/>
      <w:r w:rsidRPr="00BF6E46">
        <w:rPr>
          <w:b w:val="0"/>
          <w:sz w:val="28"/>
          <w:szCs w:val="28"/>
        </w:rPr>
        <w:t xml:space="preserve"> </w:t>
      </w:r>
      <w:proofErr w:type="gramStart"/>
      <w:r w:rsidRPr="00BF6E46">
        <w:rPr>
          <w:b w:val="0"/>
          <w:sz w:val="28"/>
          <w:szCs w:val="28"/>
        </w:rPr>
        <w:t>о стратегическом планировании в гор</w:t>
      </w:r>
      <w:r w:rsidR="00013778">
        <w:rPr>
          <w:b w:val="0"/>
          <w:sz w:val="28"/>
          <w:szCs w:val="28"/>
        </w:rPr>
        <w:t>одском округе Тольятти, утверждё</w:t>
      </w:r>
      <w:r w:rsidRPr="00BF6E46">
        <w:rPr>
          <w:b w:val="0"/>
          <w:sz w:val="28"/>
          <w:szCs w:val="28"/>
        </w:rPr>
        <w:t>нного решением Думы городского округа Тольятти</w:t>
      </w:r>
      <w:r w:rsidR="00013778">
        <w:rPr>
          <w:b w:val="0"/>
          <w:sz w:val="28"/>
          <w:szCs w:val="28"/>
        </w:rPr>
        <w:t xml:space="preserve"> от 18.05.2011 №</w:t>
      </w:r>
      <w:r w:rsidRPr="00BF6E46">
        <w:rPr>
          <w:b w:val="0"/>
          <w:sz w:val="28"/>
          <w:szCs w:val="28"/>
        </w:rPr>
        <w:t>541 (в редакции решения Думы городского округа Тольятти от</w:t>
      </w:r>
      <w:r w:rsidR="00CB6EDB">
        <w:rPr>
          <w:b w:val="0"/>
          <w:sz w:val="28"/>
          <w:szCs w:val="28"/>
        </w:rPr>
        <w:t xml:space="preserve"> 16.10.2013</w:t>
      </w:r>
      <w:r w:rsidR="00CB6EDB" w:rsidRPr="003537BF">
        <w:rPr>
          <w:sz w:val="28"/>
          <w:szCs w:val="28"/>
        </w:rPr>
        <w:t> </w:t>
      </w:r>
      <w:r w:rsidR="00013778">
        <w:rPr>
          <w:b w:val="0"/>
          <w:sz w:val="28"/>
          <w:szCs w:val="28"/>
        </w:rPr>
        <w:t>№</w:t>
      </w:r>
      <w:r w:rsidRPr="00BF6E46">
        <w:rPr>
          <w:b w:val="0"/>
          <w:sz w:val="28"/>
          <w:szCs w:val="28"/>
        </w:rPr>
        <w:t>45), в части утверждения технического задания на корректировку Стратегического плана развития городского округа</w:t>
      </w:r>
      <w:r w:rsidR="00013778">
        <w:rPr>
          <w:b w:val="0"/>
          <w:sz w:val="28"/>
          <w:szCs w:val="28"/>
        </w:rPr>
        <w:t xml:space="preserve"> Тольятти до 2020 года, утверждё</w:t>
      </w:r>
      <w:r w:rsidRPr="00BF6E46">
        <w:rPr>
          <w:b w:val="0"/>
          <w:sz w:val="28"/>
          <w:szCs w:val="28"/>
        </w:rPr>
        <w:t>нного решением Думы городского округа Тольятти от 07.07.2010 №335, а также установления порядка разработки, рассмотрения, утверждения и контроля</w:t>
      </w:r>
      <w:proofErr w:type="gramEnd"/>
      <w:r w:rsidRPr="00BF6E46">
        <w:rPr>
          <w:b w:val="0"/>
          <w:sz w:val="28"/>
          <w:szCs w:val="28"/>
        </w:rPr>
        <w:t xml:space="preserve"> за реализацией документов стратегического планирования городского округа.</w:t>
      </w:r>
    </w:p>
    <w:p w:rsidR="00BF6AA8" w:rsidRPr="00BF6E46" w:rsidRDefault="00BF6AA8" w:rsidP="00BF6E46">
      <w:pPr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lastRenderedPageBreak/>
        <w:t>При этом принятые решения Думы подлежат обязательному исполнению и соблюдению на всей территории городского округа</w:t>
      </w:r>
      <w:r w:rsidR="00013778">
        <w:rPr>
          <w:b w:val="0"/>
          <w:sz w:val="28"/>
          <w:szCs w:val="28"/>
        </w:rPr>
        <w:t xml:space="preserve"> Тольятти. За неисполнение и не</w:t>
      </w:r>
      <w:r w:rsidRPr="00BF6E46">
        <w:rPr>
          <w:b w:val="0"/>
          <w:sz w:val="28"/>
          <w:szCs w:val="28"/>
        </w:rPr>
        <w:t>соблюдение муниципальных правовых актов должностные лица несут ответственность в соответствии с федеральными законами и законами Самарской области.</w:t>
      </w:r>
    </w:p>
    <w:p w:rsidR="00BF6AA8" w:rsidRPr="00BF6E46" w:rsidRDefault="00BF6AA8" w:rsidP="00BF6E46">
      <w:pPr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 xml:space="preserve">1.2. </w:t>
      </w:r>
      <w:proofErr w:type="gramStart"/>
      <w:r w:rsidRPr="00BF6E46">
        <w:rPr>
          <w:b w:val="0"/>
          <w:sz w:val="28"/>
          <w:szCs w:val="28"/>
        </w:rPr>
        <w:t>Доводы мэра, связанные с нарушением требований Федера</w:t>
      </w:r>
      <w:r w:rsidR="00013778">
        <w:rPr>
          <w:b w:val="0"/>
          <w:sz w:val="28"/>
          <w:szCs w:val="28"/>
        </w:rPr>
        <w:t>льного закона от 05.04.2013 №</w:t>
      </w:r>
      <w:r w:rsidRPr="00BF6E46">
        <w:rPr>
          <w:b w:val="0"/>
          <w:sz w:val="28"/>
          <w:szCs w:val="28"/>
        </w:rPr>
        <w:t>44-ФЗ «О контрактной системе в сфере закупок товаров, работ, услуг для обеспечения государственны</w:t>
      </w:r>
      <w:r w:rsidR="00013778">
        <w:rPr>
          <w:b w:val="0"/>
          <w:sz w:val="28"/>
          <w:szCs w:val="28"/>
        </w:rPr>
        <w:t>х и муниципальных нужд» (далее -</w:t>
      </w:r>
      <w:r w:rsidRPr="00BF6E46">
        <w:rPr>
          <w:b w:val="0"/>
          <w:sz w:val="28"/>
          <w:szCs w:val="28"/>
        </w:rPr>
        <w:t xml:space="preserve"> Федера</w:t>
      </w:r>
      <w:r w:rsidR="00013778">
        <w:rPr>
          <w:b w:val="0"/>
          <w:sz w:val="28"/>
          <w:szCs w:val="28"/>
        </w:rPr>
        <w:t>льный закон от 05.04.2013 №44-ФЗ), являются не</w:t>
      </w:r>
      <w:r w:rsidRPr="00BF6E46">
        <w:rPr>
          <w:b w:val="0"/>
          <w:sz w:val="28"/>
          <w:szCs w:val="28"/>
        </w:rPr>
        <w:t>обоснованными, так как заявка заказчика на проведение конкурса по выполнению научно-исследовательской работы, направляемая в управление муниципальных торгов, не относится к конкурсной документации в рамках требования действующего законодательства</w:t>
      </w:r>
      <w:proofErr w:type="gramEnd"/>
      <w:r w:rsidRPr="00BF6E46">
        <w:rPr>
          <w:b w:val="0"/>
          <w:sz w:val="28"/>
          <w:szCs w:val="28"/>
        </w:rPr>
        <w:t xml:space="preserve"> Российской Федерации. </w:t>
      </w:r>
    </w:p>
    <w:p w:rsidR="00BF6AA8" w:rsidRPr="00BF6E46" w:rsidRDefault="00013778" w:rsidP="00BF6E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Каких-</w:t>
      </w:r>
      <w:r w:rsidR="00BF6AA8" w:rsidRPr="00BF6E46">
        <w:rPr>
          <w:b w:val="0"/>
          <w:sz w:val="28"/>
          <w:szCs w:val="28"/>
        </w:rPr>
        <w:t>либо ограничений, связанных с включением в состав единой комиссии по осущес</w:t>
      </w:r>
      <w:r>
        <w:rPr>
          <w:b w:val="0"/>
          <w:sz w:val="28"/>
          <w:szCs w:val="28"/>
        </w:rPr>
        <w:t>твлению закупок представителей о</w:t>
      </w:r>
      <w:r w:rsidR="00BF6AA8" w:rsidRPr="00BF6E46">
        <w:rPr>
          <w:b w:val="0"/>
          <w:sz w:val="28"/>
          <w:szCs w:val="28"/>
        </w:rPr>
        <w:t>бщественных советов районов городского округа Тольятти и представителей Думы,</w:t>
      </w:r>
      <w:r w:rsidR="00BF6AA8" w:rsidRPr="00BF6E46">
        <w:rPr>
          <w:b w:val="0"/>
          <w:color w:val="FF0000"/>
          <w:sz w:val="28"/>
          <w:szCs w:val="28"/>
        </w:rPr>
        <w:t xml:space="preserve"> </w:t>
      </w:r>
      <w:r w:rsidR="00BF6AA8" w:rsidRPr="00BF6E46">
        <w:rPr>
          <w:b w:val="0"/>
          <w:sz w:val="28"/>
          <w:szCs w:val="28"/>
        </w:rPr>
        <w:t>в действующем законодательстве Российской Федерации не содержится.</w:t>
      </w:r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>В соответствии с пунктом 5 статьи 39 Федера</w:t>
      </w:r>
      <w:r w:rsidR="00047B13">
        <w:rPr>
          <w:b w:val="0"/>
          <w:sz w:val="28"/>
          <w:szCs w:val="28"/>
        </w:rPr>
        <w:t>льного закона от 05.04.2013 №</w:t>
      </w:r>
      <w:r w:rsidRPr="00BF6E46">
        <w:rPr>
          <w:b w:val="0"/>
          <w:sz w:val="28"/>
          <w:szCs w:val="28"/>
        </w:rPr>
        <w:t>44-ФЗ установлено, что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F6AA8" w:rsidRPr="00BF6E46" w:rsidRDefault="00047B13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F6AA8" w:rsidRPr="00BF6E46">
        <w:rPr>
          <w:b w:val="0"/>
          <w:sz w:val="28"/>
          <w:szCs w:val="28"/>
        </w:rPr>
        <w:t>. Рекомендовать мэрии (Андреев С.И.) при проведении конкурса обеспечить выполнение решения Думы городского округа Тольятти от 23.04.2014 №307 «О техническом задании на корректировку Стратегического плана развития городского округа</w:t>
      </w:r>
      <w:r>
        <w:rPr>
          <w:b w:val="0"/>
          <w:sz w:val="28"/>
          <w:szCs w:val="28"/>
        </w:rPr>
        <w:t xml:space="preserve"> Тольятти до 2020 года, утверждё</w:t>
      </w:r>
      <w:r w:rsidR="00BF6AA8" w:rsidRPr="00BF6E46">
        <w:rPr>
          <w:b w:val="0"/>
          <w:sz w:val="28"/>
          <w:szCs w:val="28"/>
        </w:rPr>
        <w:t>нного решением Думы городского округа Тольятти от 07.07.2010 №335».</w:t>
      </w:r>
    </w:p>
    <w:p w:rsidR="00BF6AA8" w:rsidRPr="00BF6E46" w:rsidRDefault="00047B13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F6AA8" w:rsidRPr="00BF6E46">
        <w:rPr>
          <w:b w:val="0"/>
          <w:sz w:val="28"/>
          <w:szCs w:val="28"/>
        </w:rPr>
        <w:t>. Н</w:t>
      </w:r>
      <w:r>
        <w:rPr>
          <w:b w:val="0"/>
          <w:sz w:val="28"/>
          <w:szCs w:val="28"/>
        </w:rPr>
        <w:t>аправить настоящее решение в п</w:t>
      </w:r>
      <w:r w:rsidR="00BF6AA8" w:rsidRPr="00BF6E46">
        <w:rPr>
          <w:b w:val="0"/>
          <w:sz w:val="28"/>
          <w:szCs w:val="28"/>
        </w:rPr>
        <w:t>рокуратуру г</w:t>
      </w:r>
      <w:bookmarkStart w:id="0" w:name="_GoBack"/>
      <w:bookmarkEnd w:id="0"/>
      <w:proofErr w:type="gramStart"/>
      <w:r>
        <w:rPr>
          <w:b w:val="0"/>
          <w:sz w:val="28"/>
          <w:szCs w:val="28"/>
        </w:rPr>
        <w:t>.</w:t>
      </w:r>
      <w:r w:rsidR="00BF6AA8" w:rsidRPr="00BF6E46">
        <w:rPr>
          <w:b w:val="0"/>
          <w:sz w:val="28"/>
          <w:szCs w:val="28"/>
        </w:rPr>
        <w:t>Т</w:t>
      </w:r>
      <w:proofErr w:type="gramEnd"/>
      <w:r w:rsidR="00BF6AA8" w:rsidRPr="00BF6E46">
        <w:rPr>
          <w:b w:val="0"/>
          <w:sz w:val="28"/>
          <w:szCs w:val="28"/>
        </w:rPr>
        <w:t>ольятти.</w:t>
      </w:r>
    </w:p>
    <w:p w:rsidR="00BF6AA8" w:rsidRPr="00BF6E46" w:rsidRDefault="00047B13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F6AA8" w:rsidRPr="00BF6E46">
        <w:rPr>
          <w:b w:val="0"/>
          <w:sz w:val="28"/>
          <w:szCs w:val="28"/>
        </w:rPr>
        <w:t xml:space="preserve">. </w:t>
      </w:r>
      <w:proofErr w:type="gramStart"/>
      <w:r w:rsidR="00BF6AA8" w:rsidRPr="00BF6E46">
        <w:rPr>
          <w:b w:val="0"/>
          <w:sz w:val="28"/>
          <w:szCs w:val="28"/>
        </w:rPr>
        <w:t>Контроль за</w:t>
      </w:r>
      <w:proofErr w:type="gramEnd"/>
      <w:r w:rsidR="00BF6AA8" w:rsidRPr="00BF6E46">
        <w:rPr>
          <w:b w:val="0"/>
          <w:sz w:val="28"/>
          <w:szCs w:val="28"/>
        </w:rPr>
        <w:t xml:space="preserve"> выполнением настоящего решения возложить </w:t>
      </w:r>
      <w:r>
        <w:rPr>
          <w:b w:val="0"/>
          <w:sz w:val="28"/>
          <w:szCs w:val="28"/>
        </w:rPr>
        <w:br/>
      </w:r>
      <w:r w:rsidR="00BF6AA8" w:rsidRPr="00BF6E4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постоянную комиссию</w:t>
      </w:r>
      <w:r w:rsidR="00BF6AA8" w:rsidRPr="00BF6E46">
        <w:rPr>
          <w:b w:val="0"/>
          <w:sz w:val="28"/>
          <w:szCs w:val="28"/>
        </w:rPr>
        <w:t xml:space="preserve"> по бюджету и экономической политике </w:t>
      </w:r>
      <w:r>
        <w:rPr>
          <w:b w:val="0"/>
          <w:sz w:val="28"/>
          <w:szCs w:val="28"/>
        </w:rPr>
        <w:br/>
      </w:r>
      <w:r w:rsidR="00BF6AA8" w:rsidRPr="00BF6E46">
        <w:rPr>
          <w:b w:val="0"/>
          <w:sz w:val="28"/>
          <w:szCs w:val="28"/>
        </w:rPr>
        <w:t>(</w:t>
      </w:r>
      <w:proofErr w:type="spellStart"/>
      <w:r w:rsidR="00BF6AA8" w:rsidRPr="00BF6E46">
        <w:rPr>
          <w:b w:val="0"/>
          <w:sz w:val="28"/>
          <w:szCs w:val="28"/>
        </w:rPr>
        <w:t>Колмыков</w:t>
      </w:r>
      <w:proofErr w:type="spellEnd"/>
      <w:r w:rsidR="00BF6AA8" w:rsidRPr="00BF6E46">
        <w:rPr>
          <w:b w:val="0"/>
          <w:sz w:val="28"/>
          <w:szCs w:val="28"/>
        </w:rPr>
        <w:t xml:space="preserve"> С.Н.).</w:t>
      </w:r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BF6AA8" w:rsidRPr="00BF6E46" w:rsidRDefault="00BF6AA8" w:rsidP="00047B13">
      <w:pPr>
        <w:rPr>
          <w:b w:val="0"/>
          <w:sz w:val="28"/>
          <w:szCs w:val="28"/>
        </w:rPr>
      </w:pPr>
      <w:r w:rsidRPr="00BF6E46">
        <w:rPr>
          <w:b w:val="0"/>
          <w:sz w:val="28"/>
          <w:szCs w:val="28"/>
        </w:rPr>
        <w:t xml:space="preserve">Председатель Думы                                                    </w:t>
      </w:r>
      <w:r w:rsidR="00047B13">
        <w:rPr>
          <w:b w:val="0"/>
          <w:sz w:val="28"/>
          <w:szCs w:val="28"/>
        </w:rPr>
        <w:t xml:space="preserve">     </w:t>
      </w:r>
      <w:r w:rsidRPr="00BF6E46">
        <w:rPr>
          <w:b w:val="0"/>
          <w:sz w:val="28"/>
          <w:szCs w:val="28"/>
        </w:rPr>
        <w:t xml:space="preserve">                      </w:t>
      </w:r>
      <w:proofErr w:type="spellStart"/>
      <w:r w:rsidRPr="00BF6E46">
        <w:rPr>
          <w:b w:val="0"/>
          <w:sz w:val="28"/>
          <w:szCs w:val="28"/>
        </w:rPr>
        <w:t>Д.Б.Микель</w:t>
      </w:r>
      <w:proofErr w:type="spellEnd"/>
    </w:p>
    <w:p w:rsidR="00BF6AA8" w:rsidRPr="00BF6E46" w:rsidRDefault="00BF6AA8" w:rsidP="00BF6E46">
      <w:pPr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BF6AA8" w:rsidRPr="00BF6E46" w:rsidRDefault="00BF6AA8" w:rsidP="00BF6E46">
      <w:pPr>
        <w:ind w:firstLine="709"/>
        <w:rPr>
          <w:sz w:val="28"/>
          <w:szCs w:val="28"/>
        </w:rPr>
      </w:pPr>
    </w:p>
    <w:p w:rsidR="003B163F" w:rsidRDefault="003B163F"/>
    <w:sectPr w:rsidR="003B163F" w:rsidSect="000137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78" w:rsidRDefault="00013778" w:rsidP="00013778">
      <w:r>
        <w:separator/>
      </w:r>
    </w:p>
  </w:endnote>
  <w:endnote w:type="continuationSeparator" w:id="1">
    <w:p w:rsidR="00013778" w:rsidRDefault="00013778" w:rsidP="0001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78" w:rsidRDefault="00013778" w:rsidP="00013778">
      <w:r>
        <w:separator/>
      </w:r>
    </w:p>
  </w:footnote>
  <w:footnote w:type="continuationSeparator" w:id="1">
    <w:p w:rsidR="00013778" w:rsidRDefault="00013778" w:rsidP="0001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103"/>
      <w:docPartObj>
        <w:docPartGallery w:val="Page Numbers (Top of Page)"/>
        <w:docPartUnique/>
      </w:docPartObj>
    </w:sdtPr>
    <w:sdtContent>
      <w:p w:rsidR="00013778" w:rsidRDefault="001A7F97">
        <w:pPr>
          <w:pStyle w:val="a3"/>
          <w:jc w:val="center"/>
        </w:pPr>
        <w:r w:rsidRPr="00013778">
          <w:rPr>
            <w:b w:val="0"/>
            <w:sz w:val="20"/>
            <w:szCs w:val="20"/>
          </w:rPr>
          <w:fldChar w:fldCharType="begin"/>
        </w:r>
        <w:r w:rsidR="00013778" w:rsidRPr="00013778">
          <w:rPr>
            <w:b w:val="0"/>
            <w:sz w:val="20"/>
            <w:szCs w:val="20"/>
          </w:rPr>
          <w:instrText xml:space="preserve"> PAGE   \* MERGEFORMAT </w:instrText>
        </w:r>
        <w:r w:rsidRPr="00013778">
          <w:rPr>
            <w:b w:val="0"/>
            <w:sz w:val="20"/>
            <w:szCs w:val="20"/>
          </w:rPr>
          <w:fldChar w:fldCharType="separate"/>
        </w:r>
        <w:r w:rsidR="00CB6EDB">
          <w:rPr>
            <w:b w:val="0"/>
            <w:noProof/>
            <w:sz w:val="20"/>
            <w:szCs w:val="20"/>
          </w:rPr>
          <w:t>2</w:t>
        </w:r>
        <w:r w:rsidRPr="00013778">
          <w:rPr>
            <w:b w:val="0"/>
            <w:sz w:val="20"/>
            <w:szCs w:val="20"/>
          </w:rPr>
          <w:fldChar w:fldCharType="end"/>
        </w:r>
      </w:p>
    </w:sdtContent>
  </w:sdt>
  <w:p w:rsidR="00013778" w:rsidRDefault="000137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AA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778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7B13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A7F97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A6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54E4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07B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6AA8"/>
    <w:rsid w:val="00BF6E46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6EDB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8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778"/>
    <w:rPr>
      <w:rFonts w:eastAsia="Calibri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778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2014-06-03T12:41:00Z</dcterms:created>
  <dcterms:modified xsi:type="dcterms:W3CDTF">2014-06-09T06:28:00Z</dcterms:modified>
</cp:coreProperties>
</file>