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A3" w:rsidRDefault="002605A3" w:rsidP="002605A3">
      <w:pPr>
        <w:snapToGrid w:val="0"/>
        <w:jc w:val="center"/>
        <w:rPr>
          <w:rFonts w:cs="Times New Roman"/>
          <w:sz w:val="28"/>
          <w:szCs w:val="28"/>
        </w:rPr>
      </w:pPr>
    </w:p>
    <w:p w:rsidR="002605A3" w:rsidRDefault="002605A3" w:rsidP="002605A3">
      <w:pPr>
        <w:snapToGrid w:val="0"/>
        <w:jc w:val="center"/>
        <w:rPr>
          <w:rFonts w:cs="Times New Roman"/>
          <w:sz w:val="28"/>
          <w:szCs w:val="28"/>
        </w:rPr>
      </w:pPr>
    </w:p>
    <w:p w:rsidR="002605A3" w:rsidRDefault="002605A3" w:rsidP="002605A3">
      <w:pPr>
        <w:snapToGrid w:val="0"/>
        <w:jc w:val="center"/>
        <w:rPr>
          <w:rFonts w:cs="Times New Roman"/>
          <w:sz w:val="28"/>
          <w:szCs w:val="28"/>
        </w:rPr>
      </w:pPr>
    </w:p>
    <w:p w:rsidR="002605A3" w:rsidRDefault="002605A3" w:rsidP="002605A3">
      <w:pPr>
        <w:snapToGrid w:val="0"/>
        <w:jc w:val="center"/>
        <w:rPr>
          <w:rFonts w:cs="Times New Roman"/>
          <w:sz w:val="28"/>
          <w:szCs w:val="28"/>
        </w:rPr>
      </w:pPr>
    </w:p>
    <w:p w:rsidR="002605A3" w:rsidRDefault="002605A3" w:rsidP="002605A3">
      <w:pPr>
        <w:snapToGrid w:val="0"/>
        <w:jc w:val="center"/>
        <w:rPr>
          <w:rFonts w:cs="Times New Roman"/>
          <w:sz w:val="28"/>
          <w:szCs w:val="28"/>
        </w:rPr>
      </w:pPr>
    </w:p>
    <w:p w:rsidR="002605A3" w:rsidRDefault="002605A3" w:rsidP="002605A3">
      <w:pPr>
        <w:snapToGrid w:val="0"/>
        <w:jc w:val="center"/>
        <w:rPr>
          <w:rFonts w:cs="Times New Roman"/>
          <w:sz w:val="28"/>
          <w:szCs w:val="28"/>
        </w:rPr>
      </w:pPr>
    </w:p>
    <w:p w:rsidR="002605A3" w:rsidRDefault="002605A3" w:rsidP="002605A3">
      <w:pPr>
        <w:snapToGrid w:val="0"/>
        <w:jc w:val="center"/>
        <w:rPr>
          <w:rFonts w:cs="Times New Roman"/>
          <w:sz w:val="28"/>
          <w:szCs w:val="28"/>
        </w:rPr>
      </w:pPr>
    </w:p>
    <w:p w:rsidR="002605A3" w:rsidRDefault="002605A3" w:rsidP="002605A3">
      <w:pPr>
        <w:snapToGrid w:val="0"/>
        <w:jc w:val="center"/>
        <w:rPr>
          <w:rFonts w:cs="Times New Roman"/>
          <w:sz w:val="28"/>
          <w:szCs w:val="28"/>
        </w:rPr>
      </w:pPr>
    </w:p>
    <w:p w:rsidR="002605A3" w:rsidRDefault="002605A3" w:rsidP="002605A3">
      <w:pPr>
        <w:snapToGrid w:val="0"/>
        <w:jc w:val="center"/>
        <w:rPr>
          <w:rFonts w:cs="Times New Roman"/>
          <w:sz w:val="28"/>
          <w:szCs w:val="28"/>
        </w:rPr>
      </w:pPr>
    </w:p>
    <w:p w:rsidR="002605A3" w:rsidRPr="002605A3" w:rsidRDefault="002605A3" w:rsidP="002605A3">
      <w:pPr>
        <w:snapToGrid w:val="0"/>
        <w:jc w:val="center"/>
        <w:rPr>
          <w:rFonts w:cs="Times New Roman"/>
          <w:sz w:val="28"/>
          <w:szCs w:val="28"/>
        </w:rPr>
      </w:pPr>
    </w:p>
    <w:p w:rsidR="009171EE" w:rsidRPr="002605A3" w:rsidRDefault="009171EE" w:rsidP="002605A3">
      <w:pPr>
        <w:snapToGrid w:val="0"/>
        <w:jc w:val="center"/>
        <w:rPr>
          <w:rFonts w:cs="Times New Roman"/>
          <w:b/>
          <w:sz w:val="27"/>
          <w:szCs w:val="27"/>
        </w:rPr>
      </w:pPr>
      <w:r w:rsidRPr="002605A3">
        <w:rPr>
          <w:rFonts w:cs="Times New Roman"/>
          <w:b/>
          <w:sz w:val="27"/>
          <w:szCs w:val="27"/>
        </w:rPr>
        <w:t>Об информаци</w:t>
      </w:r>
      <w:r w:rsidR="002605A3" w:rsidRPr="002605A3">
        <w:rPr>
          <w:rFonts w:cs="Times New Roman"/>
          <w:b/>
          <w:sz w:val="27"/>
          <w:szCs w:val="27"/>
        </w:rPr>
        <w:t xml:space="preserve">и мэрии о подготовке изменений </w:t>
      </w:r>
      <w:r w:rsidRPr="002605A3">
        <w:rPr>
          <w:rFonts w:cs="Times New Roman"/>
          <w:b/>
          <w:sz w:val="27"/>
          <w:szCs w:val="27"/>
        </w:rPr>
        <w:t xml:space="preserve">в Программу </w:t>
      </w:r>
      <w:r w:rsidR="002605A3">
        <w:rPr>
          <w:rFonts w:cs="Times New Roman"/>
          <w:b/>
          <w:sz w:val="27"/>
          <w:szCs w:val="27"/>
        </w:rPr>
        <w:br/>
      </w:r>
      <w:r w:rsidRPr="002605A3">
        <w:rPr>
          <w:rFonts w:cs="Times New Roman"/>
          <w:b/>
          <w:sz w:val="27"/>
          <w:szCs w:val="27"/>
        </w:rPr>
        <w:t xml:space="preserve">комплексного развития систем коммунальной инфраструктуры </w:t>
      </w:r>
      <w:r w:rsidR="002605A3">
        <w:rPr>
          <w:rFonts w:cs="Times New Roman"/>
          <w:b/>
          <w:sz w:val="27"/>
          <w:szCs w:val="27"/>
        </w:rPr>
        <w:br/>
      </w:r>
      <w:r w:rsidRPr="002605A3">
        <w:rPr>
          <w:rFonts w:cs="Times New Roman"/>
          <w:b/>
          <w:sz w:val="27"/>
          <w:szCs w:val="27"/>
        </w:rPr>
        <w:t xml:space="preserve">городского округа Тольятти на период до 2015 года, утвержденную решением Думы городского округа Тольятти от 17 июня 2009 года </w:t>
      </w:r>
      <w:r w:rsidR="002605A3">
        <w:rPr>
          <w:rFonts w:cs="Times New Roman"/>
          <w:b/>
          <w:sz w:val="27"/>
          <w:szCs w:val="27"/>
        </w:rPr>
        <w:t>№ 107,</w:t>
      </w:r>
      <w:r w:rsidR="002605A3">
        <w:rPr>
          <w:rFonts w:cs="Times New Roman"/>
          <w:b/>
          <w:sz w:val="27"/>
          <w:szCs w:val="27"/>
        </w:rPr>
        <w:br/>
      </w:r>
      <w:r w:rsidRPr="002605A3">
        <w:rPr>
          <w:rFonts w:cs="Times New Roman"/>
          <w:b/>
          <w:sz w:val="27"/>
          <w:szCs w:val="27"/>
        </w:rPr>
        <w:t>и о ходе реализации указанной Программы за 2014 год</w:t>
      </w:r>
    </w:p>
    <w:p w:rsidR="002605A3" w:rsidRPr="002605A3" w:rsidRDefault="002605A3" w:rsidP="002605A3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</w:p>
    <w:p w:rsidR="002605A3" w:rsidRPr="002605A3" w:rsidRDefault="002605A3" w:rsidP="002605A3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</w:p>
    <w:p w:rsidR="009171EE" w:rsidRPr="002605A3" w:rsidRDefault="009171EE" w:rsidP="002605A3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2605A3">
        <w:rPr>
          <w:rFonts w:cs="Times New Roman"/>
          <w:sz w:val="27"/>
          <w:szCs w:val="27"/>
        </w:rPr>
        <w:t>Заслушав информаци</w:t>
      </w:r>
      <w:r w:rsidR="002605A3" w:rsidRPr="002605A3">
        <w:rPr>
          <w:rFonts w:cs="Times New Roman"/>
          <w:sz w:val="27"/>
          <w:szCs w:val="27"/>
        </w:rPr>
        <w:t xml:space="preserve">ю мэрии о подготовке изменений </w:t>
      </w:r>
      <w:r w:rsidRPr="002605A3">
        <w:rPr>
          <w:rFonts w:cs="Times New Roman"/>
          <w:sz w:val="27"/>
          <w:szCs w:val="27"/>
        </w:rPr>
        <w:t>в Программу комплексного развития систем коммунальной инфраструктуры городского округа Тольятти на период до 2015 года, утвержденную решением Думы городского округа Тольятти от 17 июня 2009 года № 107, и о ходе реализации указанной Программы за 2014 год, Дума</w:t>
      </w:r>
    </w:p>
    <w:p w:rsidR="002605A3" w:rsidRPr="002605A3" w:rsidRDefault="002605A3" w:rsidP="002605A3">
      <w:pPr>
        <w:autoSpaceDE w:val="0"/>
        <w:autoSpaceDN w:val="0"/>
        <w:adjustRightInd w:val="0"/>
        <w:ind w:firstLine="709"/>
        <w:jc w:val="center"/>
        <w:rPr>
          <w:rFonts w:cs="Times New Roman"/>
          <w:sz w:val="20"/>
        </w:rPr>
      </w:pPr>
    </w:p>
    <w:p w:rsidR="009171EE" w:rsidRPr="002605A3" w:rsidRDefault="009171EE" w:rsidP="002605A3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2605A3">
        <w:rPr>
          <w:rFonts w:cs="Times New Roman"/>
          <w:sz w:val="27"/>
          <w:szCs w:val="27"/>
        </w:rPr>
        <w:t>РЕШИЛА:</w:t>
      </w:r>
    </w:p>
    <w:p w:rsidR="002605A3" w:rsidRPr="002605A3" w:rsidRDefault="002605A3" w:rsidP="002605A3">
      <w:pPr>
        <w:autoSpaceDE w:val="0"/>
        <w:autoSpaceDN w:val="0"/>
        <w:adjustRightInd w:val="0"/>
        <w:ind w:firstLine="709"/>
        <w:jc w:val="center"/>
        <w:rPr>
          <w:rFonts w:cs="Times New Roman"/>
          <w:bCs/>
          <w:iCs/>
          <w:sz w:val="20"/>
        </w:rPr>
      </w:pPr>
    </w:p>
    <w:p w:rsidR="009171EE" w:rsidRPr="002605A3" w:rsidRDefault="009171EE" w:rsidP="002605A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cs="Times New Roman"/>
          <w:sz w:val="27"/>
          <w:szCs w:val="27"/>
        </w:rPr>
      </w:pPr>
      <w:r w:rsidRPr="002605A3">
        <w:rPr>
          <w:rFonts w:cs="Times New Roman"/>
          <w:sz w:val="27"/>
          <w:szCs w:val="27"/>
        </w:rPr>
        <w:t>Информацию принять к сведению.</w:t>
      </w:r>
    </w:p>
    <w:p w:rsidR="009171EE" w:rsidRPr="002605A3" w:rsidRDefault="009171EE" w:rsidP="002605A3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cs="Times New Roman"/>
          <w:sz w:val="27"/>
          <w:szCs w:val="27"/>
        </w:rPr>
      </w:pPr>
      <w:r w:rsidRPr="002605A3">
        <w:rPr>
          <w:rFonts w:cs="Times New Roman"/>
          <w:sz w:val="27"/>
          <w:szCs w:val="27"/>
        </w:rPr>
        <w:t xml:space="preserve">Отметить </w:t>
      </w:r>
      <w:proofErr w:type="spellStart"/>
      <w:r w:rsidRPr="002605A3">
        <w:rPr>
          <w:rFonts w:cs="Times New Roman"/>
          <w:sz w:val="27"/>
          <w:szCs w:val="27"/>
        </w:rPr>
        <w:t>непредоставление</w:t>
      </w:r>
      <w:proofErr w:type="spellEnd"/>
      <w:r w:rsidRPr="002605A3">
        <w:rPr>
          <w:rFonts w:cs="Times New Roman"/>
          <w:sz w:val="27"/>
          <w:szCs w:val="27"/>
        </w:rPr>
        <w:t xml:space="preserve"> мэрией информации по вопросу </w:t>
      </w:r>
      <w:r w:rsidR="002605A3" w:rsidRPr="002605A3">
        <w:rPr>
          <w:rFonts w:cs="Times New Roman"/>
          <w:sz w:val="27"/>
          <w:szCs w:val="27"/>
        </w:rPr>
        <w:br/>
      </w:r>
      <w:r w:rsidRPr="002605A3">
        <w:rPr>
          <w:rFonts w:cs="Times New Roman"/>
          <w:sz w:val="27"/>
          <w:szCs w:val="27"/>
        </w:rPr>
        <w:t>«Об информаци</w:t>
      </w:r>
      <w:r w:rsidR="002605A3" w:rsidRPr="002605A3">
        <w:rPr>
          <w:rFonts w:cs="Times New Roman"/>
          <w:sz w:val="27"/>
          <w:szCs w:val="27"/>
        </w:rPr>
        <w:t xml:space="preserve">и мэрии о подготовке изменений </w:t>
      </w:r>
      <w:r w:rsidRPr="002605A3">
        <w:rPr>
          <w:rFonts w:cs="Times New Roman"/>
          <w:sz w:val="27"/>
          <w:szCs w:val="27"/>
        </w:rPr>
        <w:t>в Программу комплексного развития систем коммунальной инфраструктуры городского округа Тольятти на период до 2015 года, утвержденную решением Думы городского округа Тольятти от 17 июня 2009 года № 107, и о ходе реализации указанной Программы за 2014 год».</w:t>
      </w:r>
    </w:p>
    <w:p w:rsidR="002605A3" w:rsidRPr="002605A3" w:rsidRDefault="002605A3" w:rsidP="002605A3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cs="Times New Roman"/>
          <w:sz w:val="27"/>
          <w:szCs w:val="27"/>
        </w:rPr>
      </w:pPr>
      <w:r w:rsidRPr="002605A3">
        <w:rPr>
          <w:rFonts w:cs="Times New Roman"/>
          <w:sz w:val="27"/>
          <w:szCs w:val="27"/>
        </w:rPr>
        <w:t>Рекомендовать мэру (Андреев С.И.) представить в Думу утвержденные схемы водоснабжения и водоотведения городского округа Тольятти на период с 2014 до 2028 года и Программу комплексного развития систем коммунальной инфраструктуры городского округа Тольятти, разработанную с учетом утвержденных схем теплоснабжения, водоснабжения и водоотведения городско</w:t>
      </w:r>
      <w:r w:rsidR="001A1617">
        <w:rPr>
          <w:rFonts w:cs="Times New Roman"/>
          <w:sz w:val="27"/>
          <w:szCs w:val="27"/>
        </w:rPr>
        <w:t>го округа Тольятти, согласно требованиям</w:t>
      </w:r>
      <w:r w:rsidRPr="002605A3">
        <w:rPr>
          <w:rFonts w:cs="Times New Roman"/>
          <w:sz w:val="27"/>
          <w:szCs w:val="27"/>
        </w:rPr>
        <w:t xml:space="preserve"> Постановления Правительства Российской Федерации от 14 июня 2013 г</w:t>
      </w:r>
      <w:bookmarkStart w:id="0" w:name="_GoBack"/>
      <w:bookmarkEnd w:id="0"/>
      <w:r w:rsidRPr="002605A3">
        <w:rPr>
          <w:rFonts w:cs="Times New Roman"/>
          <w:sz w:val="27"/>
          <w:szCs w:val="27"/>
        </w:rPr>
        <w:t xml:space="preserve">ода № 502 </w:t>
      </w:r>
      <w:r w:rsidR="001A1617">
        <w:rPr>
          <w:rFonts w:cs="Times New Roman"/>
          <w:sz w:val="27"/>
          <w:szCs w:val="27"/>
        </w:rPr>
        <w:br/>
      </w:r>
      <w:r w:rsidRPr="002605A3">
        <w:rPr>
          <w:rFonts w:cs="Times New Roman"/>
          <w:sz w:val="27"/>
          <w:szCs w:val="27"/>
        </w:rPr>
        <w:t>«Об утверждении требований к программам комплексного развития систем коммунальной инфраструктуры поселений, городских округов</w:t>
      </w:r>
      <w:r w:rsidR="005C1CFA">
        <w:rPr>
          <w:rFonts w:cs="Times New Roman"/>
          <w:sz w:val="27"/>
          <w:szCs w:val="27"/>
        </w:rPr>
        <w:t>»</w:t>
      </w:r>
      <w:r w:rsidRPr="002605A3">
        <w:rPr>
          <w:rFonts w:cs="Times New Roman"/>
          <w:sz w:val="27"/>
          <w:szCs w:val="27"/>
        </w:rPr>
        <w:t>.</w:t>
      </w:r>
    </w:p>
    <w:p w:rsidR="002605A3" w:rsidRPr="002605A3" w:rsidRDefault="002605A3" w:rsidP="002605A3">
      <w:pPr>
        <w:tabs>
          <w:tab w:val="left" w:pos="0"/>
          <w:tab w:val="left" w:pos="993"/>
        </w:tabs>
        <w:ind w:left="1069"/>
        <w:jc w:val="both"/>
        <w:rPr>
          <w:rFonts w:cs="Times New Roman"/>
          <w:sz w:val="27"/>
          <w:szCs w:val="27"/>
        </w:rPr>
      </w:pPr>
      <w:r w:rsidRPr="002605A3">
        <w:rPr>
          <w:rFonts w:cs="Times New Roman"/>
          <w:sz w:val="27"/>
          <w:szCs w:val="27"/>
        </w:rPr>
        <w:t xml:space="preserve">Срок – </w:t>
      </w:r>
      <w:r w:rsidRPr="002605A3">
        <w:rPr>
          <w:rFonts w:cs="Times New Roman"/>
          <w:sz w:val="27"/>
          <w:szCs w:val="27"/>
          <w:lang w:val="en-US"/>
        </w:rPr>
        <w:t>I</w:t>
      </w:r>
      <w:r w:rsidRPr="002605A3">
        <w:rPr>
          <w:rFonts w:cs="Times New Roman"/>
          <w:sz w:val="27"/>
          <w:szCs w:val="27"/>
        </w:rPr>
        <w:t xml:space="preserve"> квартал 2015 года.</w:t>
      </w:r>
    </w:p>
    <w:p w:rsidR="009171EE" w:rsidRPr="002605A3" w:rsidRDefault="009171EE" w:rsidP="002605A3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cs="Times New Roman"/>
          <w:sz w:val="27"/>
          <w:szCs w:val="27"/>
        </w:rPr>
      </w:pPr>
      <w:proofErr w:type="gramStart"/>
      <w:r w:rsidRPr="002605A3">
        <w:rPr>
          <w:rFonts w:cs="Times New Roman"/>
          <w:sz w:val="27"/>
          <w:szCs w:val="27"/>
        </w:rPr>
        <w:t>Контроль за</w:t>
      </w:r>
      <w:proofErr w:type="gramEnd"/>
      <w:r w:rsidRPr="002605A3">
        <w:rPr>
          <w:rFonts w:cs="Times New Roman"/>
          <w:sz w:val="27"/>
          <w:szCs w:val="27"/>
        </w:rPr>
        <w:t xml:space="preserve"> выполнением настоящего решения возложить на постоянную комиссию по городскому хозяйству (</w:t>
      </w:r>
      <w:proofErr w:type="spellStart"/>
      <w:r w:rsidRPr="002605A3">
        <w:rPr>
          <w:rFonts w:cs="Times New Roman"/>
          <w:sz w:val="27"/>
          <w:szCs w:val="27"/>
        </w:rPr>
        <w:t>Альшин</w:t>
      </w:r>
      <w:proofErr w:type="spellEnd"/>
      <w:r w:rsidRPr="002605A3">
        <w:rPr>
          <w:rFonts w:cs="Times New Roman"/>
          <w:sz w:val="27"/>
          <w:szCs w:val="27"/>
        </w:rPr>
        <w:t xml:space="preserve"> А.В.).</w:t>
      </w:r>
    </w:p>
    <w:p w:rsidR="002605A3" w:rsidRPr="002605A3" w:rsidRDefault="002605A3" w:rsidP="002605A3">
      <w:pPr>
        <w:ind w:firstLine="709"/>
        <w:rPr>
          <w:rFonts w:cs="Times New Roman"/>
          <w:sz w:val="27"/>
          <w:szCs w:val="27"/>
        </w:rPr>
      </w:pPr>
    </w:p>
    <w:p w:rsidR="002605A3" w:rsidRPr="002605A3" w:rsidRDefault="002605A3" w:rsidP="002605A3">
      <w:pPr>
        <w:ind w:firstLine="709"/>
        <w:rPr>
          <w:rFonts w:cs="Times New Roman"/>
          <w:sz w:val="27"/>
          <w:szCs w:val="27"/>
        </w:rPr>
      </w:pPr>
    </w:p>
    <w:p w:rsidR="00C132F0" w:rsidRPr="002605A3" w:rsidRDefault="009171EE" w:rsidP="002605A3">
      <w:pPr>
        <w:rPr>
          <w:rFonts w:cs="Times New Roman"/>
          <w:sz w:val="27"/>
          <w:szCs w:val="27"/>
        </w:rPr>
      </w:pPr>
      <w:r w:rsidRPr="002605A3">
        <w:rPr>
          <w:rFonts w:cs="Times New Roman"/>
          <w:sz w:val="27"/>
          <w:szCs w:val="27"/>
        </w:rPr>
        <w:t>Председатель Думы</w:t>
      </w:r>
      <w:r w:rsidRPr="002605A3">
        <w:rPr>
          <w:rFonts w:cs="Times New Roman"/>
          <w:sz w:val="27"/>
          <w:szCs w:val="27"/>
        </w:rPr>
        <w:tab/>
      </w:r>
      <w:r w:rsidRPr="002605A3">
        <w:rPr>
          <w:rFonts w:cs="Times New Roman"/>
          <w:sz w:val="27"/>
          <w:szCs w:val="27"/>
        </w:rPr>
        <w:tab/>
        <w:t xml:space="preserve">                                                           </w:t>
      </w:r>
      <w:r w:rsidR="005C1CFA">
        <w:rPr>
          <w:rFonts w:cs="Times New Roman"/>
          <w:sz w:val="27"/>
          <w:szCs w:val="27"/>
        </w:rPr>
        <w:t xml:space="preserve">   </w:t>
      </w:r>
      <w:r w:rsidRPr="002605A3">
        <w:rPr>
          <w:rFonts w:cs="Times New Roman"/>
          <w:sz w:val="27"/>
          <w:szCs w:val="27"/>
        </w:rPr>
        <w:t xml:space="preserve">   </w:t>
      </w:r>
      <w:proofErr w:type="spellStart"/>
      <w:r w:rsidRPr="002605A3">
        <w:rPr>
          <w:rFonts w:cs="Times New Roman"/>
          <w:sz w:val="27"/>
          <w:szCs w:val="27"/>
        </w:rPr>
        <w:t>Д.Б.Микель</w:t>
      </w:r>
      <w:proofErr w:type="spellEnd"/>
    </w:p>
    <w:sectPr w:rsidR="00C132F0" w:rsidRPr="002605A3" w:rsidSect="002605A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408"/>
    <w:multiLevelType w:val="hybridMultilevel"/>
    <w:tmpl w:val="180E3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0A650DE"/>
    <w:multiLevelType w:val="hybridMultilevel"/>
    <w:tmpl w:val="6D806AEC"/>
    <w:lvl w:ilvl="0" w:tplc="B13E3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1EE"/>
    <w:rsid w:val="001A1617"/>
    <w:rsid w:val="002605A3"/>
    <w:rsid w:val="005C1CFA"/>
    <w:rsid w:val="009171EE"/>
    <w:rsid w:val="00C1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EE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e.filatova</dc:creator>
  <cp:lastModifiedBy>Оленина</cp:lastModifiedBy>
  <cp:revision>4</cp:revision>
  <dcterms:created xsi:type="dcterms:W3CDTF">2014-12-23T09:52:00Z</dcterms:created>
  <dcterms:modified xsi:type="dcterms:W3CDTF">2014-12-29T05:07:00Z</dcterms:modified>
</cp:coreProperties>
</file>