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74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3117"/>
        <w:gridCol w:w="1700"/>
        <w:gridCol w:w="56"/>
        <w:gridCol w:w="1700"/>
      </w:tblGrid>
      <w:tr w:rsidR="00D25CBC" w:rsidRPr="00374BBD" w:rsidTr="00502144">
        <w:trPr>
          <w:trHeight w:val="230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  <w:bookmarkStart w:id="0" w:name="__bookmark_1"/>
            <w:bookmarkStart w:id="1" w:name="_GoBack"/>
            <w:bookmarkEnd w:id="0"/>
            <w:bookmarkEnd w:id="1"/>
            <w:r w:rsidRPr="00374BBD">
              <w:rPr>
                <w:rFonts w:eastAsia="Arial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</w:tr>
      <w:tr w:rsidR="00D25CBC" w:rsidRPr="00374BBD" w:rsidTr="00502144">
        <w:trPr>
          <w:trHeight w:val="1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79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КОДЫ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0503160</w:t>
            </w:r>
          </w:p>
        </w:tc>
      </w:tr>
      <w:tr w:rsidR="00D25CBC" w:rsidRPr="00374BBD" w:rsidTr="00502144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0"/>
            </w:tblGrid>
            <w:tr w:rsidR="00D25CBC" w:rsidRPr="00374BBD">
              <w:trPr>
                <w:jc w:val="center"/>
              </w:trPr>
              <w:tc>
                <w:tcPr>
                  <w:tcW w:w="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D30EBE" w:rsidRDefault="00DB6ADF" w:rsidP="00184B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0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на 1 января 20</w:t>
                  </w:r>
                  <w:r w:rsidR="005E62AF" w:rsidRPr="00D30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184B6D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Pr="00D30EB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FD05A2" w:rsidRDefault="00FD05A2" w:rsidP="00184B6D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01.01.202</w:t>
            </w:r>
            <w:r w:rsidR="00184B6D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распорядитель, распорядитель,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получатель бюджетных средств, главный администратор,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администратор доходов бюджета,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35A" w:rsidRDefault="00A2435A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ГРБС </w:t>
            </w:r>
          </w:p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43886008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администратор, администратор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7459FD">
        <w:trPr>
          <w:trHeight w:val="537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дефицита бюджета</w:t>
            </w:r>
          </w:p>
        </w:tc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D30EBE" w:rsidRDefault="00DB6ADF">
            <w:pPr>
              <w:rPr>
                <w:rFonts w:eastAsia="Arial"/>
                <w:b/>
                <w:color w:val="000000"/>
                <w:sz w:val="24"/>
                <w:szCs w:val="24"/>
                <w:u w:val="single"/>
              </w:rPr>
            </w:pPr>
            <w:r w:rsidRPr="00D30EBE">
              <w:rPr>
                <w:rFonts w:eastAsia="Arial"/>
                <w:b/>
                <w:color w:val="000000"/>
                <w:sz w:val="24"/>
                <w:szCs w:val="24"/>
                <w:u w:val="single"/>
              </w:rPr>
              <w:t>Дума городского округа Тольятти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900</w:t>
            </w:r>
          </w:p>
        </w:tc>
      </w:tr>
      <w:tr w:rsidR="00D25CBC" w:rsidRPr="00374BBD" w:rsidTr="00502144">
        <w:trPr>
          <w:trHeight w:val="226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3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  <w:u w:val="single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 xml:space="preserve">Бюджет городского округа </w:t>
            </w:r>
            <w:proofErr w:type="spellStart"/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.Т</w:t>
            </w:r>
            <w:proofErr w:type="gramEnd"/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ольятти</w:t>
            </w:r>
            <w:proofErr w:type="spellEnd"/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(публично-правового образования)</w:t>
            </w:r>
          </w:p>
        </w:tc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56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36740000000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Периодичность: годовая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hidden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Единица измерения: </w:t>
                  </w:r>
                  <w:proofErr w:type="spellStart"/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383</w:t>
            </w:r>
          </w:p>
        </w:tc>
      </w:tr>
    </w:tbl>
    <w:p w:rsidR="00D25CBC" w:rsidRPr="00374BBD" w:rsidRDefault="00D25CBC">
      <w:pPr>
        <w:rPr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9639" w:type="dxa"/>
        <w:tblInd w:w="-261" w:type="dxa"/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6"/>
        <w:gridCol w:w="1606"/>
        <w:gridCol w:w="1606"/>
        <w:gridCol w:w="1609"/>
      </w:tblGrid>
      <w:tr w:rsidR="00D25CBC" w:rsidRPr="00374BBD" w:rsidTr="00502144">
        <w:trPr>
          <w:tblHeader/>
        </w:trPr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184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2E5" w:rsidRPr="00A902E5" w:rsidRDefault="00DB6ADF" w:rsidP="006E020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Общие сведения</w:t>
            </w:r>
            <w:r w:rsidR="00A902E5" w:rsidRPr="00A902E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D25CBC" w:rsidRDefault="00FF1511" w:rsidP="00046E7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ИНН 6320011852, КПП 632401001 Юридический адрес: Россия, Самарская обл., 445023, </w:t>
            </w:r>
            <w:proofErr w:type="spellStart"/>
            <w:r w:rsidRPr="00FF1511">
              <w:rPr>
                <w:rFonts w:eastAsia="Arial"/>
                <w:color w:val="000000"/>
                <w:sz w:val="24"/>
                <w:szCs w:val="24"/>
              </w:rPr>
              <w:t>г</w:t>
            </w:r>
            <w:proofErr w:type="gramStart"/>
            <w:r w:rsidRPr="00FF1511">
              <w:rPr>
                <w:rFonts w:eastAsia="Arial"/>
                <w:color w:val="000000"/>
                <w:sz w:val="24"/>
                <w:szCs w:val="24"/>
              </w:rPr>
              <w:t>.Т</w:t>
            </w:r>
            <w:proofErr w:type="gramEnd"/>
            <w:r w:rsidRPr="00FF1511">
              <w:rPr>
                <w:rFonts w:eastAsia="Arial"/>
                <w:color w:val="000000"/>
                <w:sz w:val="24"/>
                <w:szCs w:val="24"/>
              </w:rPr>
              <w:t>ольятти</w:t>
            </w:r>
            <w:proofErr w:type="spellEnd"/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, Центральная площадь, дом 4. Первая подпись: Председатель – </w:t>
            </w:r>
            <w:proofErr w:type="spellStart"/>
            <w:r w:rsidRPr="00FF1511">
              <w:rPr>
                <w:rFonts w:eastAsia="Arial"/>
                <w:color w:val="000000"/>
                <w:sz w:val="24"/>
                <w:szCs w:val="24"/>
              </w:rPr>
              <w:t>Остудин</w:t>
            </w:r>
            <w:proofErr w:type="spellEnd"/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 Николай Иванович, первый заместитель председателя Думы – Сачков Юрий Александрович, руководитель аппарата Думы – Митрофанова Наталья Александровна, заместитель руководителя аппарата Думы </w:t>
            </w:r>
            <w:r w:rsidR="005E62AF">
              <w:rPr>
                <w:rFonts w:eastAsia="Arial"/>
                <w:color w:val="000000"/>
                <w:sz w:val="24"/>
                <w:szCs w:val="24"/>
              </w:rPr>
              <w:t>–</w:t>
            </w:r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511">
              <w:rPr>
                <w:rFonts w:eastAsia="Arial"/>
                <w:color w:val="000000"/>
                <w:sz w:val="24"/>
                <w:szCs w:val="24"/>
              </w:rPr>
              <w:t>Шарафан</w:t>
            </w:r>
            <w:proofErr w:type="spellEnd"/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 Евгений Владимирович (доверенность № 1</w:t>
            </w:r>
            <w:r w:rsidR="00184B6D">
              <w:rPr>
                <w:rFonts w:eastAsia="Arial"/>
                <w:color w:val="000000"/>
                <w:sz w:val="24"/>
                <w:szCs w:val="24"/>
              </w:rPr>
              <w:t>5</w:t>
            </w:r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 от 1</w:t>
            </w:r>
            <w:r w:rsidR="00184B6D">
              <w:rPr>
                <w:rFonts w:eastAsia="Arial"/>
                <w:color w:val="000000"/>
                <w:sz w:val="24"/>
                <w:szCs w:val="24"/>
              </w:rPr>
              <w:t>6.11.2021</w:t>
            </w:r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г.) Вторая подпись: Начальник отдела бухгалтерского учета и отчетности </w:t>
            </w:r>
            <w:r w:rsidR="005E62AF">
              <w:rPr>
                <w:rFonts w:eastAsia="Arial"/>
                <w:color w:val="000000"/>
                <w:sz w:val="24"/>
                <w:szCs w:val="24"/>
              </w:rPr>
              <w:t>–</w:t>
            </w:r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 Каменских Любовь Дмитриевна, заместитель начальника отдела бухгалтерского учета и отчетности </w:t>
            </w:r>
            <w:r w:rsidR="005E62AF">
              <w:rPr>
                <w:rFonts w:eastAsia="Arial"/>
                <w:color w:val="000000"/>
                <w:sz w:val="24"/>
                <w:szCs w:val="24"/>
              </w:rPr>
              <w:t>–</w:t>
            </w:r>
            <w:r w:rsidRPr="00FF1511">
              <w:rPr>
                <w:rFonts w:eastAsia="Arial"/>
                <w:color w:val="000000"/>
                <w:sz w:val="24"/>
                <w:szCs w:val="24"/>
              </w:rPr>
              <w:t xml:space="preserve"> Казакова Елена Николаевна</w:t>
            </w:r>
          </w:p>
          <w:p w:rsidR="00A94601" w:rsidRDefault="00A94601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b/>
                <w:color w:val="000000"/>
                <w:sz w:val="24"/>
                <w:szCs w:val="24"/>
              </w:rPr>
              <w:t>Раздел 1 «Организационная структура субъекта бюджетной отчетности»</w:t>
            </w:r>
          </w:p>
          <w:p w:rsidR="00B36C67" w:rsidRDefault="00512066" w:rsidP="009058EA">
            <w:pPr>
              <w:spacing w:before="240"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  Дума городского округа Тольятти является представительным органом местного самоуправления, действует на основании устава городского округа Тольятти, занимается решением вопросов и местного значения и принимает нормативно-правовые акты в</w:t>
            </w:r>
            <w:r w:rsidR="00071DED">
              <w:rPr>
                <w:rFonts w:eastAsia="Arial"/>
                <w:color w:val="000000"/>
                <w:sz w:val="24"/>
                <w:szCs w:val="24"/>
              </w:rPr>
              <w:t xml:space="preserve"> пределах своей компетенции. 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Подведомственных учреждений не имеет, является главным распорядителем бюджетных средств и главным администратором доходов бюджета. </w:t>
            </w:r>
          </w:p>
          <w:p w:rsidR="00A94601" w:rsidRDefault="00A94601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b/>
                <w:color w:val="000000"/>
                <w:sz w:val="24"/>
                <w:szCs w:val="24"/>
              </w:rPr>
              <w:t>Раздел 2 «Результаты деятельности субъекта бюджетной отчетности»</w:t>
            </w:r>
          </w:p>
          <w:p w:rsidR="00512066" w:rsidRPr="00512066" w:rsidRDefault="00512066" w:rsidP="009058EA">
            <w:pPr>
              <w:spacing w:before="240"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    Дума городского округа является представительным органом городского округа. Осуществление полномочий связаны с решением вопросов местного значения.   </w:t>
            </w:r>
          </w:p>
          <w:p w:rsidR="00512066" w:rsidRPr="00512066" w:rsidRDefault="00071DED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512066" w:rsidRPr="00512066">
              <w:rPr>
                <w:rFonts w:eastAsia="Arial"/>
                <w:color w:val="000000"/>
                <w:sz w:val="24"/>
                <w:szCs w:val="24"/>
              </w:rPr>
              <w:t xml:space="preserve">Из утвержденных бюджетных назначений в сумме 122 989 000,0 руб., израсходовано 122 239 869,04 руб. не освоение составляет 749 130,96 руб.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Проводятся меры по повышению эффективности расходования бюджетных средств: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- Закупка товаров, выполнение работ и услуг проводится конкурентным способом на основе проведения торгов путем аукционов, конкурсов, запроса котировок. Оплата производится по факту поставки товаров, выполнения работ и услуг, что приводит к уменьшению дебиторской и кредиторской задолженности;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Приобретение энергосберегающих лампочек;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Установление ежемесячного лимита расходования ГСМ и утверждение норм расхода ГСМ.       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  Согласно 44-ФЗ от 05.04.2013 «О контрактной системе в сфере закупок товаров, работ, услуг для обеспечения государственных и муниципальных нужд» закупка товаров, выполнение работ и услуг в Думе производится конкурентным способом - проведением торгов.    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В результате экономия от торгов в 2021 году составила 899 017,92 руб., из которых 743 034,52 руб. направлены на погашение дефицита бюджета городского округа Тольятти. Оставшаяся экономия от заключенных контрактов образовалась в декабре 2021 года, возможности закрытия данной экономии не было возможным.           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Численность,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согласно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штатного расписания, на 31.12.2021г. составляет 134 единицы, в том числе КСП 27 единицы.    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Среднесписочная численность составляет 112 чел.,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по Думе – 90 чел., в том числе  муниципальных служащих – 49 чел.,  технических работников – 38 чел., выборных – 3 чел.,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по КСП  – 22 чел.,  в том числе  муниципальных служащих – 15 чел.,  технических работников – 7 чел.      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В 2021 году сотрудники Думы городского округа Тольятти и контрольно-счетной палаты обучение и повышение квалификации не проходили.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В Думе числится 216 единиц компьютерной и офисной техники. 20% единиц соответствуют минимальным техническим требованиям, 80% единиц требуют обновления.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Модернизация существующего парка компьютеров нецелесообразна и невозможна по причине отсутствия совместимых комплектующих в свободной продаже.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Существующая в организации компьютерная и офисная техника технически устарела. </w:t>
            </w:r>
          </w:p>
          <w:p w:rsidR="00A94601" w:rsidRDefault="00A94601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b/>
                <w:color w:val="000000"/>
                <w:sz w:val="24"/>
                <w:szCs w:val="24"/>
              </w:rPr>
              <w:t>Раздел 3 «Анализ отчета об исполнении бюджета субъектом бюджетной отчетности»</w:t>
            </w:r>
            <w:r w:rsidRPr="00512066">
              <w:rPr>
                <w:rFonts w:eastAsia="Arial"/>
                <w:b/>
                <w:color w:val="000000"/>
                <w:sz w:val="24"/>
                <w:szCs w:val="24"/>
              </w:rPr>
              <w:tab/>
              <w:t xml:space="preserve">    </w:t>
            </w:r>
          </w:p>
          <w:p w:rsidR="00512066" w:rsidRPr="00512066" w:rsidRDefault="00512066" w:rsidP="009058EA">
            <w:pPr>
              <w:spacing w:before="240"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  Решением Думы городского округа Тольятти  № 787  от 23.12.2020 г.  "О бюджете городского округа Тольятти на 2021 год и плановый период 2022 и 2023 годов" принят бюджет городского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округа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Тольятти, ассигнования составили 122 438 000,00 руб., в том числе ассигнования контрольно-счетной палаты в сумме 17 835 000,00 руб. В течение года вносились изменения в данное решение, закрывалась  экономия от торгов. На конец года бюджетные ассигнования Думы городского округа Тольятти составили 122 989 000,0 руб. 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Исполнение  бюджета составило 122 239 869,04 руб., что составляет 99,4 % от утвержденных бюджетных назначений, в том числе исполнение КСП 17 700 381,26 руб., что составило 99,8%.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Сведения об исполнении текстовых статей закона (решения) о бюджете отражены в таблице № 3;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Сведения об исполнении бюджета отражены в форме 0503164.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Исполнение бюджета на 01.01.2022г. составляет 99,39 % от утвержденных годовых назначений с учетом изменений на отчетную дату.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По 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исполнение составляет 99,4 %;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По разделу 0106 «Обеспечение деятельности финансовых, налоговых и таможенных органов и органов финансового (финансово-бюджетного) надзора» исполнение составляет 99,8 %;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По разделу 0113 «Другие общегосударственные расходы» исполнение составляет 99,3 %;</w:t>
            </w:r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По содержание Общественной палаты городского округа Тольятти исполнение составляет 83,8 % от утвержденного плана: экономия по тепловой энергии; не востребованы средства на приобретение запасных частей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к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вычислительной техники.</w:t>
            </w:r>
          </w:p>
          <w:p w:rsidR="00A94601" w:rsidRDefault="00A94601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b/>
                <w:color w:val="000000"/>
                <w:sz w:val="24"/>
                <w:szCs w:val="24"/>
              </w:rPr>
              <w:t>Раздел 4 «Анализ показателей бухгалтерской отчетности субъекта бюджетной отчетности»</w:t>
            </w:r>
          </w:p>
          <w:p w:rsidR="00512066" w:rsidRPr="00512066" w:rsidRDefault="00512066" w:rsidP="009058EA">
            <w:pPr>
              <w:spacing w:before="240"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Сведения о движении нефинансовых активов отражены в форме 0503168 «Сведения о движении нефинансовых активов».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Стоимость основных средств  на  01.01.2022г. составила 63 410 713,69 руб.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В 2021 году поступление основных средств составило в сумме 808 540,54 руб.: </w:t>
            </w:r>
          </w:p>
          <w:p w:rsidR="00512066" w:rsidRPr="00512066" w:rsidRDefault="00512066" w:rsidP="0051206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«Машины и оборудование» - 286 948,14 руб.;</w:t>
            </w:r>
          </w:p>
          <w:p w:rsidR="00512066" w:rsidRPr="00512066" w:rsidRDefault="00512066" w:rsidP="0051206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«Транспортные средства» - 497 500,00 руб.:</w:t>
            </w:r>
          </w:p>
          <w:p w:rsidR="00512066" w:rsidRPr="00512066" w:rsidRDefault="00512066" w:rsidP="00512066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«Инвентарь производственный и хозяйственный» - 24 092,40 руб.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Выбытие основных средств составило 1 690 069,90 руб.:</w:t>
            </w:r>
          </w:p>
          <w:p w:rsidR="00512066" w:rsidRPr="00512066" w:rsidRDefault="00512066" w:rsidP="0051206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«Машины и оборудование» - 50 652,50 руб.;</w:t>
            </w:r>
          </w:p>
          <w:p w:rsidR="00512066" w:rsidRPr="00512066" w:rsidRDefault="00512066" w:rsidP="0051206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«Транспортные средства» - 1 624 003,00 руб.: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по консолидируемым расчетам передано движимое имущество на сумму      1 124 203,00 руб.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безвозмездно передано имущество (автомобиль) в МУП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г.о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.Т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>ольятти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Пансионат «Звездный» на сумму 499 800,00 руб.</w:t>
            </w:r>
          </w:p>
          <w:p w:rsidR="00512066" w:rsidRPr="00512066" w:rsidRDefault="00512066" w:rsidP="0051206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«Инвентарь производственный и хозяйственный» - 24 092,40 руб.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В справке по консолидированным расчетам (форма 0503125) отражено перемещение 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lastRenderedPageBreak/>
              <w:t>основных средств в 2021 году, в том числе: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1)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.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п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>ередано движимое имущество (автомобили в количестве 3-х штук) в департамент по управлению муниципальным имуществом администрации городского округа Тольятти на сумму  1 124 203,00 руб.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2)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.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п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ринято в оперативное управление Думой городского округа Тольятти движимое имущество, изымаемое из оперативного управления МКУ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г.о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>. Тольятти «ЦХТО на сумму 587 500,00 руб., в том числе: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автомобиль </w:t>
            </w:r>
            <w:r w:rsidRPr="00512066">
              <w:rPr>
                <w:rFonts w:eastAsia="Arial"/>
                <w:color w:val="000000"/>
                <w:sz w:val="24"/>
                <w:szCs w:val="24"/>
                <w:lang w:val="en-US"/>
              </w:rPr>
              <w:t>LADA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219010, балансовой стоимостью 497 500,00 руб.;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газобаллонное оборудование, балансовой стоимостью 90 000,00 руб.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В справке о наличии имущества и обязательств на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забалансовых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счетах отражено имущество, полученное в пользование на сумму 75 397 749,84 руб.: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недвижимое имущество: нежилые помещения, предоставленные в безвозмездное пользование Думе городского округа Тольятти, для использования под осуществление депутатской деятельности и работы с избирателями на общую сумму 74 470 668,84 руб.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программное обеспечение (неисключительные права) на сумму 927 079,00 руб.      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Сведения по дебиторской и кредиторской задолженности отражены в форме № 0503169  Дебиторская задолженность на 01.01.2022г. составляет 550 557,21 руб. (просроченная задолженность отсутствует),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1206 21 – 25 398,13 руб.,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- 1 657,40 руб., авансовый платеж за почтовые услуги в 2021 году УФПС России,                                                         по условиям контракта;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- 23 740,73 руб. авансовый платеж за услуги связи за декабрь 2021г. ПАО «Ростелеком»,                                         по условиям контракта;.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1206 23 – 126 876,97 руб.,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- 65 934,71 руб. авансовый платеж за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теплоэнергию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за декабрь 2021г. ПАО «Т Плюс» по условиям контракта;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- 52 557,11 руб. авансовый платеж за электроэнергию за декабрь 2021г. ПАО «Самараэнерго», по условиям контракта;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- 5 666,44 руб. авансовый платеж за водоснабжение за декабрь 2021г. ООО «ВКС»;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- 446,99 руб. авансовый платеж за водоотведение ливневых стоков за декабрь 2021г. АО «ПО КХ Тольятти»;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- 2 271,72 руб. авансовый платеж за электроэнергию за декабрь 2021г. ОАО «ТЭК».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1206 26 – 61 460,32 руб. авансовый платеж за проведение проверки сметной стоимости ГАУ Самарской области " Государственная экспертиза проектов в строительстве"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1208 21 – 52 524,00 руб. выданы под отчет маркированные конверты, марки.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1303 05 – 63 008,99 руб.,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- 29 609,00 руб. авансовый платеж по транспортному налогу УФК по Самарской области (Межрайонная инспекция ФНС России 19 по Самарской области);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- 33 399,99 руб. авансовый платеж за негативное воздействие на окружающую среду УФК по Самарской области (Управление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по Самарской области);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1303 12 – 221 288,80 авансовый платеж по налогу на имущество организации УФК по Самарской области (Межрайонная инспекция ФНС России 19 по Самарской области);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Кредиторская задолженность на 01.01.2022г. – 20 887,18  руб. (просроченная задолженность отсутствует),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1 302 23 – 66,03 руб., задолженность за электроэнергию за декабрь 2021г. ПАО «Самараэнерго». Оплата будет произведена в январе 2022г.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1 302 34 – 20 821,15 руб., задолженность за ГСМ за декабрь 2021г. ООО «ТНПС». Оплата будет произведена в феврале 2022г;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В форме № 0503169 отражены резервы предстоящих расходов на оплату отпусков в сумме 2 187 944,32 руб.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Сведения об остатках денежных средств на счетах получателя бюджетных средств во временном распоряжении отражены в форме 0503178.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Остаток денежных средств по счету 3 201 11 000 составляет 64 490,00 руб., в том числе: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4 050,00 руб. – Обеспечение исполнения контракта на оказание услуг по предоставлению неисключительных прав ИП Анисимов А.А.;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60 000,00 руб. - Обеспечение исполнения контракта на техническое обслуживание и ремонт автомобилей ООО "Торговый Центр Авто-Эксперт";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440,00 - Гарантийное  обязательство на запасные части к автомобилям ООО «Арсенал.</w:t>
            </w:r>
          </w:p>
          <w:p w:rsidR="00A94601" w:rsidRDefault="00A94601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b/>
                <w:color w:val="000000"/>
                <w:sz w:val="24"/>
                <w:szCs w:val="24"/>
              </w:rPr>
              <w:t>Раздел 5 «Прочие вопросы деятельности субъекта бюджетной отчетности»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0503167 «Сведения о целевых иностранных кредитах» не заполнены, в связи с отсутствием числовых показателей для заполнения данной формы.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0503171 «Сведения о финансовых вложениях получателя бюджетных средств, администратора источников финансирования дефицита бюджета»  не заполнена, в связи с отсутствием числовых показателей для заполнения данной формы.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0503172 «Сведения о государственном (муниципальном) долге» не заполнена, в связи с отсутствием показателей для заполнения данной формы.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Сведения об изменении остатков валюты баланса» отражены в форме № 0503173: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Изменения, связанные с внедрением федеральных стандартов бухгалтерского учета. Перевод на баланс неисключительных прав пользования при первом применении стандарта «НМА» в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межотчетный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период на сумму 561 833,66 руб.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Изменение кадастровой стоимости земельного участка. Произошло уменьшение 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кадастровой стоимости земельного участка, согласно выписке по объекту Центральная площадь, 4, на сумму 8 294 018,00 руб. Данное изменение отражено в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межотчетный</w:t>
            </w:r>
            <w:proofErr w:type="spell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период.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0603174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не заполнена, в связи с отсутствием числовых показателей для заполнения данной формы.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Сведения о принятых и неисполненных обязательствах получателя бюджетных средств отражены в форме 0503175.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В соответствии с письмом финансового органа городского округа Тольятти от 01.02.2016 г. № 3722-вн/2.1 формирование показателей </w:t>
            </w:r>
            <w:hyperlink r:id="rId8" w:history="1">
              <w:r w:rsidRPr="00512066">
                <w:rPr>
                  <w:rStyle w:val="a3"/>
                  <w:rFonts w:eastAsia="Arial"/>
                  <w:sz w:val="24"/>
                  <w:szCs w:val="24"/>
                </w:rPr>
                <w:t>раздела 1</w:t>
              </w:r>
            </w:hyperlink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512066">
                <w:rPr>
                  <w:rStyle w:val="a3"/>
                  <w:rFonts w:eastAsia="Arial"/>
                  <w:sz w:val="24"/>
                  <w:szCs w:val="24"/>
                </w:rPr>
                <w:t>2</w:t>
              </w:r>
            </w:hyperlink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Сведений о принятых и неисполненных обязательствах получателя бюджетных средств (далее - Сведения ф. 0503175) осуществляется в части показателей </w:t>
            </w:r>
            <w:hyperlink r:id="rId10" w:history="1">
              <w:r w:rsidRPr="00512066">
                <w:rPr>
                  <w:rStyle w:val="a3"/>
                  <w:rFonts w:eastAsia="Arial"/>
                  <w:sz w:val="24"/>
                  <w:szCs w:val="24"/>
                </w:rPr>
                <w:t>граф 11</w:t>
              </w:r>
            </w:hyperlink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512066">
                <w:rPr>
                  <w:rStyle w:val="a3"/>
                  <w:rFonts w:eastAsia="Arial"/>
                  <w:sz w:val="24"/>
                  <w:szCs w:val="24"/>
                </w:rPr>
                <w:t>12</w:t>
              </w:r>
            </w:hyperlink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раздела 1 "Бюджетные обязательства текущего (отчетного) финансового года по расходам" Отчета ф. 0503128 по обязательствам (денежным обязательствам), сумма неисполнения которых превышает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100</w:t>
            </w:r>
            <w:r w:rsidRPr="00512066">
              <w:rPr>
                <w:rFonts w:eastAsia="Arial"/>
                <w:color w:val="000000"/>
                <w:sz w:val="24"/>
                <w:szCs w:val="24"/>
                <w:lang w:val="en-US"/>
              </w:rPr>
              <w:t> 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t>000 руб. Обязательства (денежные обязательства), сумма неисполнения которых не превышает 100 000 руб., отражаются в общей сумме по соответствующим номерам счетов бюджетного учета без детализации по дате (месяц, год) обязательств, контрагентам и причинам неисполнения (</w:t>
            </w:r>
            <w:hyperlink r:id="rId12" w:history="1">
              <w:r w:rsidRPr="00512066">
                <w:rPr>
                  <w:rStyle w:val="a3"/>
                  <w:rFonts w:eastAsia="Arial"/>
                  <w:sz w:val="24"/>
                  <w:szCs w:val="24"/>
                </w:rPr>
                <w:t>графы 3</w:t>
              </w:r>
            </w:hyperlink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- </w:t>
            </w:r>
            <w:hyperlink r:id="rId13" w:history="1">
              <w:r w:rsidRPr="00512066">
                <w:rPr>
                  <w:rStyle w:val="a3"/>
                  <w:rFonts w:eastAsia="Arial"/>
                  <w:sz w:val="24"/>
                  <w:szCs w:val="24"/>
                </w:rPr>
                <w:t>8</w:t>
              </w:r>
            </w:hyperlink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не заполняются).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0303178 «Сведения об остатках денежных средств на счетах получателя бюджетных средств. Бюджетная деятельность» не заполнена, в связи с отсутствием числовых показателей для заполнения данной формы.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0503184 «Справка о суммах консолидируемых поступлений, подлежащих зачислению на счет бюджета» не заполнена, в связи с отсутствием числовых показателей для заполнения данной формы;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Форма № 0503190 «Сведения о вложениях в объекты недвижимого имущества, объектах незавершенного строительства» не заполнена в связи с отсутствием вложений в объекты недвижимого имущества, незавершенного строительства.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Форма № 0503296 "Об исполнении судебных решений по денежным обязательствам» не заполнена, в связи с отсутствием числовых показателей для заполнения данной формы;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Форма № 0603324_</w:t>
            </w:r>
            <w:r w:rsidRPr="00512066">
              <w:rPr>
                <w:rFonts w:eastAsia="Arial"/>
                <w:color w:val="000000"/>
                <w:sz w:val="24"/>
                <w:szCs w:val="24"/>
                <w:lang w:val="en-US"/>
              </w:rPr>
              <w:t>OBL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«Отчет об использовании межбюджетных трансфертов из бюджета субъекта МО» не заполнена, в связи с отсутствием показателей для заполнения данной формы;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Форма № 0503324 «Отчет об использовании межбюджетных трансфертов из федерального бюджета субъектами РФ, МО  и ТГВФ» не заполнена, в связи с отсутствием показателей для заполнения данной формы;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Форма № 0503128-НП «Отчет о бюджетных обязательствах (по национальным проектам)» не заполнена, в связи с отсутствием показателей для заполнения данной формы;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lastRenderedPageBreak/>
              <w:t>Сведения о проведении инвентаризаций таблица № 6 не заполнена, в связи с отсутствием показателей.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Проведена инвентаризация основных средств и материальных запасов, 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согласно распоряжения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№ 01-07/19 от 04.06.2021г, в связи со сменой материально ответственного лица. По итогам инвентаризации расхождений не выявлено.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Показатели формы 0503121 «Отчет о финансовых результатах деятельности»: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Код строки 310 и 410 отражены в соответствии с инструкцией. Обороты по принятию к учету основных сре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>дств в ф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орме 0503168 отражены по счету 101 «Основные средства» и 106 «Вложение в основные средства» </w:t>
            </w:r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- Расхождение стоимости основных средств по ф.0503121 (код строки 322) и форме 0503168 связано с передачей четырех автомобилей и приемом одного автомобиля с переданной амортизацией.</w:t>
            </w:r>
          </w:p>
          <w:p w:rsidR="00793497" w:rsidRPr="00512066" w:rsidRDefault="00793497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- </w:t>
            </w:r>
            <w:r w:rsidR="00C12FD5">
              <w:rPr>
                <w:rFonts w:eastAsia="Arial"/>
                <w:color w:val="000000"/>
                <w:sz w:val="24"/>
                <w:szCs w:val="24"/>
              </w:rPr>
              <w:t>По к</w:t>
            </w:r>
            <w:r>
              <w:rPr>
                <w:rFonts w:eastAsia="Arial"/>
                <w:color w:val="000000"/>
                <w:sz w:val="24"/>
                <w:szCs w:val="24"/>
              </w:rPr>
              <w:t>од КОСГУ 173 «</w:t>
            </w:r>
            <w:r w:rsidRPr="00793497">
              <w:rPr>
                <w:rFonts w:eastAsia="Arial"/>
                <w:color w:val="000000"/>
                <w:sz w:val="24"/>
                <w:szCs w:val="24"/>
              </w:rPr>
              <w:t>Чрезвычайные доходы от операций с активами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» отражена сумма </w:t>
            </w:r>
            <w:r w:rsidRPr="00793497">
              <w:rPr>
                <w:rFonts w:eastAsia="Arial"/>
                <w:color w:val="000000"/>
                <w:sz w:val="24"/>
                <w:szCs w:val="24"/>
              </w:rPr>
              <w:t>штрафных санкций с организац</w:t>
            </w:r>
            <w:proofErr w:type="gramStart"/>
            <w:r w:rsidRPr="00793497">
              <w:rPr>
                <w:rFonts w:eastAsia="Arial"/>
                <w:color w:val="000000"/>
                <w:sz w:val="24"/>
                <w:szCs w:val="24"/>
              </w:rPr>
              <w:t>ии ООО</w:t>
            </w:r>
            <w:proofErr w:type="gramEnd"/>
            <w:r w:rsidRPr="00793497">
              <w:rPr>
                <w:rFonts w:eastAsia="Arial"/>
                <w:color w:val="000000"/>
                <w:sz w:val="24"/>
                <w:szCs w:val="24"/>
              </w:rPr>
              <w:t xml:space="preserve"> «Строй Поволжье» за ненадлежащее исполнение обязательств по муниципальному контракту</w:t>
            </w:r>
            <w:r>
              <w:rPr>
                <w:rFonts w:eastAsia="Arial"/>
                <w:color w:val="000000"/>
                <w:sz w:val="24"/>
                <w:szCs w:val="24"/>
              </w:rPr>
              <w:t>, закрыта в св</w:t>
            </w:r>
            <w:r w:rsidR="00C12FD5">
              <w:rPr>
                <w:rFonts w:eastAsia="Arial"/>
                <w:color w:val="000000"/>
                <w:sz w:val="24"/>
                <w:szCs w:val="24"/>
              </w:rPr>
              <w:t>язи с прекращением производства;</w:t>
            </w:r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- </w:t>
            </w:r>
            <w:r w:rsidR="00C12FD5">
              <w:rPr>
                <w:rFonts w:eastAsia="Arial"/>
                <w:color w:val="000000"/>
                <w:sz w:val="24"/>
                <w:szCs w:val="24"/>
              </w:rPr>
              <w:t>По к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t>од</w:t>
            </w:r>
            <w:r w:rsidR="00C12FD5">
              <w:rPr>
                <w:rFonts w:eastAsia="Arial"/>
                <w:color w:val="000000"/>
                <w:sz w:val="24"/>
                <w:szCs w:val="24"/>
              </w:rPr>
              <w:t>у</w:t>
            </w: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КОСГУ 182 «Доходы от безвозмездного права пользования активом, предоставленным организациями» отражена сумма условного дохода от предоставления безвозмездного права пользования автомобилем, полученным от ПАО «АВТОВАЗ»;</w:t>
            </w:r>
          </w:p>
          <w:p w:rsidR="00C12FD5" w:rsidRPr="00512066" w:rsidRDefault="00C12FD5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- По коду по КОСГУ 195 «Безвозмездные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неденежные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сектора»</w:t>
            </w:r>
            <w:r w:rsidR="00966109">
              <w:rPr>
                <w:rFonts w:eastAsia="Arial"/>
                <w:color w:val="000000"/>
                <w:sz w:val="24"/>
                <w:szCs w:val="24"/>
              </w:rPr>
              <w:t xml:space="preserve"> отражена сумма </w:t>
            </w:r>
            <w:r w:rsidR="00621756">
              <w:rPr>
                <w:rFonts w:eastAsia="Arial"/>
                <w:color w:val="000000"/>
                <w:sz w:val="24"/>
                <w:szCs w:val="24"/>
              </w:rPr>
              <w:t>амортизации принятого на баланс автомобиля.</w:t>
            </w:r>
          </w:p>
          <w:p w:rsidR="00167A70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Расхождение стоимости материальных запасов по ф.0503121 (код строки 361, 362) и форме 0503168 связано со сборкой системных блоков из собственных материалов.</w:t>
            </w:r>
          </w:p>
          <w:p w:rsidR="00167A70" w:rsidRDefault="00167A70" w:rsidP="00167A70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167A70">
              <w:rPr>
                <w:sz w:val="24"/>
                <w:szCs w:val="24"/>
              </w:rPr>
              <w:t>В целях реализации полномочий по осуществлению внутреннего финансового аудита в соответствии со статьей 160.2-1 Бюджетного кодекса Российской Федерации, в соответствии с Порядком организации и осуществления внутреннего финансового аудита в Думе городского округа Тольятти проведены аудиторские мероприятия</w:t>
            </w:r>
            <w:r w:rsidR="00A94601">
              <w:rPr>
                <w:sz w:val="24"/>
                <w:szCs w:val="24"/>
              </w:rPr>
              <w:t xml:space="preserve"> по п</w:t>
            </w:r>
            <w:r w:rsidRPr="00167A70">
              <w:rPr>
                <w:sz w:val="24"/>
                <w:szCs w:val="24"/>
              </w:rPr>
              <w:t>роверк</w:t>
            </w:r>
            <w:r w:rsidR="00A94601">
              <w:rPr>
                <w:sz w:val="24"/>
                <w:szCs w:val="24"/>
              </w:rPr>
              <w:t>е</w:t>
            </w:r>
            <w:r w:rsidRPr="00167A70">
              <w:rPr>
                <w:sz w:val="24"/>
                <w:szCs w:val="24"/>
              </w:rPr>
      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 </w:t>
            </w:r>
            <w:r w:rsidR="00A94601">
              <w:rPr>
                <w:sz w:val="24"/>
                <w:szCs w:val="24"/>
              </w:rPr>
              <w:t>за</w:t>
            </w:r>
            <w:r w:rsidRPr="00167A70">
              <w:rPr>
                <w:sz w:val="24"/>
                <w:szCs w:val="24"/>
              </w:rPr>
              <w:t xml:space="preserve"> 2020</w:t>
            </w:r>
            <w:proofErr w:type="gramEnd"/>
            <w:r w:rsidRPr="00167A7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A94601" w:rsidRPr="00A94601" w:rsidRDefault="00A94601" w:rsidP="00A94601">
            <w:pPr>
              <w:pStyle w:val="ConsPlusNonformat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анализа представленных документов дополнитель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бюджетные риски не выявлены. </w:t>
            </w:r>
            <w:r w:rsidRPr="00A9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финансовый контроль отдела бухгалтерского учета и отчетности аппарата Думы в части представленных документов и проанализированных бюджетных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оцедур оценивается как надежный. </w:t>
            </w:r>
            <w:r w:rsidRPr="00A9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Нарушений, искажений показателей бюджетного учета, влекущих искажение бюджетной отчетности Думы, в части представленных документов и проанализированных бюджетных процедур не установлено.</w:t>
            </w:r>
          </w:p>
          <w:p w:rsidR="00A94601" w:rsidRPr="00167A70" w:rsidRDefault="00A94601" w:rsidP="00167A70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167A70" w:rsidRPr="00512066" w:rsidRDefault="00167A70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Руководитель                   ___________________                 </w:t>
            </w:r>
            <w:r w:rsidR="00157382">
              <w:rPr>
                <w:rFonts w:eastAsia="Arial"/>
                <w:color w:val="000000"/>
                <w:sz w:val="24"/>
                <w:szCs w:val="24"/>
              </w:rPr>
              <w:t>Е.В.Шарафан</w:t>
            </w:r>
          </w:p>
          <w:p w:rsidR="004C5495" w:rsidRDefault="004C5495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Главный бухгалтер         ___________________                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Л.Д.Каменских</w:t>
            </w:r>
            <w:proofErr w:type="spellEnd"/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Руководитель планово-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экономической службы  ___________________               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Л.Д.Каменских</w:t>
            </w:r>
            <w:proofErr w:type="spellEnd"/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>Исполнитель                    Заместитель начальника</w:t>
            </w:r>
          </w:p>
          <w:p w:rsidR="00512066" w:rsidRP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                                          отдела бухгалтерского учета</w:t>
            </w:r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                                          и отчетности аппарата Думы</w:t>
            </w:r>
            <w:proofErr w:type="gramStart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_________________ Е</w:t>
            </w:r>
            <w:proofErr w:type="gramEnd"/>
            <w:r w:rsidRPr="0051206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066">
              <w:rPr>
                <w:rFonts w:eastAsia="Arial"/>
                <w:color w:val="000000"/>
                <w:sz w:val="24"/>
                <w:szCs w:val="24"/>
              </w:rPr>
              <w:t>Н.Казакова</w:t>
            </w:r>
            <w:proofErr w:type="spellEnd"/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512066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512066" w:rsidRPr="00374BBD" w:rsidRDefault="00512066" w:rsidP="0051206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:rsidR="00D25CBC" w:rsidRPr="00546C10" w:rsidRDefault="00D25CBC" w:rsidP="006E0201">
      <w:pPr>
        <w:spacing w:line="360" w:lineRule="auto"/>
        <w:rPr>
          <w:vanish/>
          <w:sz w:val="24"/>
          <w:szCs w:val="24"/>
        </w:rPr>
      </w:pPr>
      <w:bookmarkStart w:id="3" w:name="__bookmark_3"/>
      <w:bookmarkEnd w:id="3"/>
    </w:p>
    <w:sectPr w:rsidR="00D25CBC" w:rsidRPr="00546C10" w:rsidSect="003D30AF">
      <w:headerReference w:type="default" r:id="rId14"/>
      <w:footerReference w:type="default" r:id="rId15"/>
      <w:pgSz w:w="11055" w:h="16837"/>
      <w:pgMar w:top="851" w:right="283" w:bottom="567" w:left="1133" w:header="566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F0" w:rsidRPr="00CF192A" w:rsidRDefault="00A22DF0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endnote>
  <w:endnote w:type="continuationSeparator" w:id="0">
    <w:p w:rsidR="00A22DF0" w:rsidRPr="00CF192A" w:rsidRDefault="00A22DF0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167A70" w:rsidRPr="00CF192A">
      <w:trPr>
        <w:trHeight w:val="56"/>
      </w:trPr>
      <w:tc>
        <w:tcPr>
          <w:tcW w:w="9854" w:type="dxa"/>
        </w:tcPr>
        <w:p w:rsidR="00167A70" w:rsidRPr="00CF192A" w:rsidRDefault="00167A70">
          <w:pPr>
            <w:spacing w:line="1" w:lineRule="auto"/>
            <w:rPr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F0" w:rsidRPr="00CF192A" w:rsidRDefault="00A22DF0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footnote>
  <w:footnote w:type="continuationSeparator" w:id="0">
    <w:p w:rsidR="00A22DF0" w:rsidRPr="00CF192A" w:rsidRDefault="00A22DF0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167A70" w:rsidRPr="00CF192A">
      <w:trPr>
        <w:trHeight w:val="56"/>
      </w:trPr>
      <w:tc>
        <w:tcPr>
          <w:tcW w:w="9854" w:type="dxa"/>
        </w:tcPr>
        <w:p w:rsidR="00167A70" w:rsidRPr="00CF192A" w:rsidRDefault="00167A70">
          <w:pPr>
            <w:spacing w:line="1" w:lineRule="auto"/>
            <w:rPr>
              <w:sz w:val="1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6CC"/>
    <w:multiLevelType w:val="hybridMultilevel"/>
    <w:tmpl w:val="133C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179"/>
    <w:multiLevelType w:val="hybridMultilevel"/>
    <w:tmpl w:val="B3BE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4544"/>
    <w:multiLevelType w:val="hybridMultilevel"/>
    <w:tmpl w:val="BF4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B1E67"/>
    <w:multiLevelType w:val="hybridMultilevel"/>
    <w:tmpl w:val="B192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764D"/>
    <w:multiLevelType w:val="hybridMultilevel"/>
    <w:tmpl w:val="5374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66948"/>
    <w:multiLevelType w:val="hybridMultilevel"/>
    <w:tmpl w:val="896C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A3D09"/>
    <w:multiLevelType w:val="hybridMultilevel"/>
    <w:tmpl w:val="295E851C"/>
    <w:lvl w:ilvl="0" w:tplc="1812D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84A58"/>
    <w:multiLevelType w:val="hybridMultilevel"/>
    <w:tmpl w:val="99A8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BC"/>
    <w:rsid w:val="00000372"/>
    <w:rsid w:val="000003E7"/>
    <w:rsid w:val="00013A6E"/>
    <w:rsid w:val="00020B6A"/>
    <w:rsid w:val="00022E67"/>
    <w:rsid w:val="00025CDB"/>
    <w:rsid w:val="00027E18"/>
    <w:rsid w:val="00031330"/>
    <w:rsid w:val="00032995"/>
    <w:rsid w:val="00041C45"/>
    <w:rsid w:val="00044833"/>
    <w:rsid w:val="00046E70"/>
    <w:rsid w:val="00051658"/>
    <w:rsid w:val="0005302D"/>
    <w:rsid w:val="000557A7"/>
    <w:rsid w:val="00062441"/>
    <w:rsid w:val="00064B69"/>
    <w:rsid w:val="00071DED"/>
    <w:rsid w:val="00083B06"/>
    <w:rsid w:val="00083FB9"/>
    <w:rsid w:val="00086CE9"/>
    <w:rsid w:val="000A3A9B"/>
    <w:rsid w:val="000A5F08"/>
    <w:rsid w:val="000B0C48"/>
    <w:rsid w:val="000B257F"/>
    <w:rsid w:val="000C5DED"/>
    <w:rsid w:val="000C6CB9"/>
    <w:rsid w:val="000D642A"/>
    <w:rsid w:val="00107B79"/>
    <w:rsid w:val="0011226A"/>
    <w:rsid w:val="001169E4"/>
    <w:rsid w:val="001178F7"/>
    <w:rsid w:val="00130C56"/>
    <w:rsid w:val="0013360B"/>
    <w:rsid w:val="00134C87"/>
    <w:rsid w:val="001356CC"/>
    <w:rsid w:val="00141A4F"/>
    <w:rsid w:val="00143604"/>
    <w:rsid w:val="00150EA7"/>
    <w:rsid w:val="00152C71"/>
    <w:rsid w:val="00156796"/>
    <w:rsid w:val="00157382"/>
    <w:rsid w:val="0016113A"/>
    <w:rsid w:val="00164121"/>
    <w:rsid w:val="00166DB6"/>
    <w:rsid w:val="00167A70"/>
    <w:rsid w:val="001701C4"/>
    <w:rsid w:val="001705A0"/>
    <w:rsid w:val="00175486"/>
    <w:rsid w:val="00175FD3"/>
    <w:rsid w:val="00177CA7"/>
    <w:rsid w:val="00184B6D"/>
    <w:rsid w:val="00187984"/>
    <w:rsid w:val="00187B51"/>
    <w:rsid w:val="00191CE8"/>
    <w:rsid w:val="00192E40"/>
    <w:rsid w:val="00194A1B"/>
    <w:rsid w:val="001D4597"/>
    <w:rsid w:val="001F31C8"/>
    <w:rsid w:val="001F45E5"/>
    <w:rsid w:val="00200CFA"/>
    <w:rsid w:val="0020157E"/>
    <w:rsid w:val="00207032"/>
    <w:rsid w:val="00213005"/>
    <w:rsid w:val="0021723D"/>
    <w:rsid w:val="0024341D"/>
    <w:rsid w:val="00245711"/>
    <w:rsid w:val="002532F4"/>
    <w:rsid w:val="0025363D"/>
    <w:rsid w:val="00253F4E"/>
    <w:rsid w:val="00257370"/>
    <w:rsid w:val="002746AA"/>
    <w:rsid w:val="002831BF"/>
    <w:rsid w:val="00287B95"/>
    <w:rsid w:val="002918BB"/>
    <w:rsid w:val="0029621C"/>
    <w:rsid w:val="002A0F1F"/>
    <w:rsid w:val="002A44B6"/>
    <w:rsid w:val="002B138C"/>
    <w:rsid w:val="002B41F7"/>
    <w:rsid w:val="002C622A"/>
    <w:rsid w:val="002D3D0C"/>
    <w:rsid w:val="002D5CFF"/>
    <w:rsid w:val="002D690A"/>
    <w:rsid w:val="002D79D6"/>
    <w:rsid w:val="00300F9E"/>
    <w:rsid w:val="00302B8E"/>
    <w:rsid w:val="00303535"/>
    <w:rsid w:val="00313653"/>
    <w:rsid w:val="003214F4"/>
    <w:rsid w:val="003257E9"/>
    <w:rsid w:val="00332150"/>
    <w:rsid w:val="00341F58"/>
    <w:rsid w:val="00343A07"/>
    <w:rsid w:val="003454BE"/>
    <w:rsid w:val="00345855"/>
    <w:rsid w:val="00346BEE"/>
    <w:rsid w:val="0035167F"/>
    <w:rsid w:val="00354148"/>
    <w:rsid w:val="00361810"/>
    <w:rsid w:val="0036310B"/>
    <w:rsid w:val="00363224"/>
    <w:rsid w:val="003642FF"/>
    <w:rsid w:val="00367789"/>
    <w:rsid w:val="00370FCB"/>
    <w:rsid w:val="0037135F"/>
    <w:rsid w:val="00374BBD"/>
    <w:rsid w:val="0039672D"/>
    <w:rsid w:val="003A0965"/>
    <w:rsid w:val="003A1EB7"/>
    <w:rsid w:val="003B0940"/>
    <w:rsid w:val="003B0A55"/>
    <w:rsid w:val="003B4869"/>
    <w:rsid w:val="003B6E9D"/>
    <w:rsid w:val="003C0BD4"/>
    <w:rsid w:val="003C17F4"/>
    <w:rsid w:val="003D268E"/>
    <w:rsid w:val="003D30AF"/>
    <w:rsid w:val="003E08DA"/>
    <w:rsid w:val="003E0C6C"/>
    <w:rsid w:val="003E2311"/>
    <w:rsid w:val="003E6093"/>
    <w:rsid w:val="003F12C0"/>
    <w:rsid w:val="003F12EA"/>
    <w:rsid w:val="003F2CF4"/>
    <w:rsid w:val="003F6B66"/>
    <w:rsid w:val="004049E1"/>
    <w:rsid w:val="00417869"/>
    <w:rsid w:val="00423DDB"/>
    <w:rsid w:val="0042429B"/>
    <w:rsid w:val="004247BA"/>
    <w:rsid w:val="00425361"/>
    <w:rsid w:val="004322A2"/>
    <w:rsid w:val="0043235B"/>
    <w:rsid w:val="00434537"/>
    <w:rsid w:val="00435091"/>
    <w:rsid w:val="00456DE1"/>
    <w:rsid w:val="00471C61"/>
    <w:rsid w:val="00473E77"/>
    <w:rsid w:val="00475E8F"/>
    <w:rsid w:val="00486B0C"/>
    <w:rsid w:val="00486DAA"/>
    <w:rsid w:val="00486DE5"/>
    <w:rsid w:val="00491FD1"/>
    <w:rsid w:val="004932DA"/>
    <w:rsid w:val="004968C9"/>
    <w:rsid w:val="004977C8"/>
    <w:rsid w:val="004A17D8"/>
    <w:rsid w:val="004A1BD1"/>
    <w:rsid w:val="004A4A25"/>
    <w:rsid w:val="004A7EAD"/>
    <w:rsid w:val="004B0369"/>
    <w:rsid w:val="004B46A2"/>
    <w:rsid w:val="004C1B15"/>
    <w:rsid w:val="004C5495"/>
    <w:rsid w:val="004D0897"/>
    <w:rsid w:val="004D130D"/>
    <w:rsid w:val="004D1F39"/>
    <w:rsid w:val="004D6AAD"/>
    <w:rsid w:val="004E329E"/>
    <w:rsid w:val="004E4A02"/>
    <w:rsid w:val="004F20A6"/>
    <w:rsid w:val="004F4A9E"/>
    <w:rsid w:val="004F54BD"/>
    <w:rsid w:val="004F6741"/>
    <w:rsid w:val="004F6FE7"/>
    <w:rsid w:val="00502144"/>
    <w:rsid w:val="005055A5"/>
    <w:rsid w:val="0050672E"/>
    <w:rsid w:val="00512066"/>
    <w:rsid w:val="00517BEA"/>
    <w:rsid w:val="00525B78"/>
    <w:rsid w:val="00532485"/>
    <w:rsid w:val="005352EE"/>
    <w:rsid w:val="00543733"/>
    <w:rsid w:val="005441AA"/>
    <w:rsid w:val="00545104"/>
    <w:rsid w:val="00546BDC"/>
    <w:rsid w:val="00546C10"/>
    <w:rsid w:val="005504E1"/>
    <w:rsid w:val="00551BB3"/>
    <w:rsid w:val="00563827"/>
    <w:rsid w:val="005673B2"/>
    <w:rsid w:val="00572D5A"/>
    <w:rsid w:val="00573C9F"/>
    <w:rsid w:val="0057480A"/>
    <w:rsid w:val="00575456"/>
    <w:rsid w:val="005754C1"/>
    <w:rsid w:val="00577152"/>
    <w:rsid w:val="00584DAB"/>
    <w:rsid w:val="005954B0"/>
    <w:rsid w:val="005956D2"/>
    <w:rsid w:val="005A03F6"/>
    <w:rsid w:val="005A5988"/>
    <w:rsid w:val="005A7288"/>
    <w:rsid w:val="005B3AB1"/>
    <w:rsid w:val="005C52F2"/>
    <w:rsid w:val="005C77E9"/>
    <w:rsid w:val="005D3C44"/>
    <w:rsid w:val="005D3E2F"/>
    <w:rsid w:val="005D6622"/>
    <w:rsid w:val="005D729E"/>
    <w:rsid w:val="005E082F"/>
    <w:rsid w:val="005E62AF"/>
    <w:rsid w:val="005F6B65"/>
    <w:rsid w:val="006001DC"/>
    <w:rsid w:val="00602D29"/>
    <w:rsid w:val="00605231"/>
    <w:rsid w:val="006060AD"/>
    <w:rsid w:val="0061060D"/>
    <w:rsid w:val="006141CE"/>
    <w:rsid w:val="0061580E"/>
    <w:rsid w:val="006165F6"/>
    <w:rsid w:val="00617AD4"/>
    <w:rsid w:val="00617FFB"/>
    <w:rsid w:val="00621756"/>
    <w:rsid w:val="00625570"/>
    <w:rsid w:val="0062660B"/>
    <w:rsid w:val="006344CF"/>
    <w:rsid w:val="006420CF"/>
    <w:rsid w:val="00643E96"/>
    <w:rsid w:val="006468E3"/>
    <w:rsid w:val="00656C2F"/>
    <w:rsid w:val="006603E6"/>
    <w:rsid w:val="00663C0A"/>
    <w:rsid w:val="00664418"/>
    <w:rsid w:val="00681565"/>
    <w:rsid w:val="00685ECA"/>
    <w:rsid w:val="0069020C"/>
    <w:rsid w:val="00691260"/>
    <w:rsid w:val="00694F71"/>
    <w:rsid w:val="006A5D40"/>
    <w:rsid w:val="006A6E86"/>
    <w:rsid w:val="006B1F78"/>
    <w:rsid w:val="006B7773"/>
    <w:rsid w:val="006C163A"/>
    <w:rsid w:val="006C3AD1"/>
    <w:rsid w:val="006C5F80"/>
    <w:rsid w:val="006D3BC3"/>
    <w:rsid w:val="006D42B1"/>
    <w:rsid w:val="006E0201"/>
    <w:rsid w:val="006E1AEB"/>
    <w:rsid w:val="006E4BAE"/>
    <w:rsid w:val="006F031C"/>
    <w:rsid w:val="006F1ACF"/>
    <w:rsid w:val="0070094F"/>
    <w:rsid w:val="00703445"/>
    <w:rsid w:val="00710274"/>
    <w:rsid w:val="00714143"/>
    <w:rsid w:val="00714F4A"/>
    <w:rsid w:val="00723E55"/>
    <w:rsid w:val="007300A7"/>
    <w:rsid w:val="0073333E"/>
    <w:rsid w:val="00735E1C"/>
    <w:rsid w:val="0074128B"/>
    <w:rsid w:val="00745043"/>
    <w:rsid w:val="007459FD"/>
    <w:rsid w:val="0075319F"/>
    <w:rsid w:val="00755CCD"/>
    <w:rsid w:val="007642D7"/>
    <w:rsid w:val="00766875"/>
    <w:rsid w:val="007675C7"/>
    <w:rsid w:val="00770AC2"/>
    <w:rsid w:val="00773394"/>
    <w:rsid w:val="00785F14"/>
    <w:rsid w:val="007915E3"/>
    <w:rsid w:val="00793497"/>
    <w:rsid w:val="007968F9"/>
    <w:rsid w:val="007A066A"/>
    <w:rsid w:val="007A243F"/>
    <w:rsid w:val="007B1E64"/>
    <w:rsid w:val="007B3CE4"/>
    <w:rsid w:val="007B45D9"/>
    <w:rsid w:val="007B7A34"/>
    <w:rsid w:val="007C0894"/>
    <w:rsid w:val="007C54C6"/>
    <w:rsid w:val="007D506E"/>
    <w:rsid w:val="007D5EC6"/>
    <w:rsid w:val="007E3EA3"/>
    <w:rsid w:val="007E3EFE"/>
    <w:rsid w:val="007F7880"/>
    <w:rsid w:val="00803602"/>
    <w:rsid w:val="008056D0"/>
    <w:rsid w:val="008060B4"/>
    <w:rsid w:val="00811881"/>
    <w:rsid w:val="008122FF"/>
    <w:rsid w:val="00812738"/>
    <w:rsid w:val="008246A0"/>
    <w:rsid w:val="00835248"/>
    <w:rsid w:val="008368B4"/>
    <w:rsid w:val="00841577"/>
    <w:rsid w:val="00850781"/>
    <w:rsid w:val="008507DD"/>
    <w:rsid w:val="00850A92"/>
    <w:rsid w:val="008765FE"/>
    <w:rsid w:val="00883459"/>
    <w:rsid w:val="0089177D"/>
    <w:rsid w:val="00892D54"/>
    <w:rsid w:val="00893A44"/>
    <w:rsid w:val="00896097"/>
    <w:rsid w:val="008B14EB"/>
    <w:rsid w:val="008D144D"/>
    <w:rsid w:val="008D2A30"/>
    <w:rsid w:val="008F0F3D"/>
    <w:rsid w:val="008F31EB"/>
    <w:rsid w:val="008F3A5A"/>
    <w:rsid w:val="00900387"/>
    <w:rsid w:val="009058EA"/>
    <w:rsid w:val="009068E5"/>
    <w:rsid w:val="00911FDA"/>
    <w:rsid w:val="00912A43"/>
    <w:rsid w:val="009265F2"/>
    <w:rsid w:val="009369B3"/>
    <w:rsid w:val="00942379"/>
    <w:rsid w:val="009446B2"/>
    <w:rsid w:val="00947F4F"/>
    <w:rsid w:val="009532CE"/>
    <w:rsid w:val="00964660"/>
    <w:rsid w:val="00965872"/>
    <w:rsid w:val="00966109"/>
    <w:rsid w:val="00971110"/>
    <w:rsid w:val="00972318"/>
    <w:rsid w:val="00981176"/>
    <w:rsid w:val="00983526"/>
    <w:rsid w:val="00992089"/>
    <w:rsid w:val="00992316"/>
    <w:rsid w:val="009938D4"/>
    <w:rsid w:val="009A2649"/>
    <w:rsid w:val="009A3A18"/>
    <w:rsid w:val="009A57BC"/>
    <w:rsid w:val="009C6A22"/>
    <w:rsid w:val="009D44BE"/>
    <w:rsid w:val="009E4407"/>
    <w:rsid w:val="009E4B20"/>
    <w:rsid w:val="009F363A"/>
    <w:rsid w:val="00A003DF"/>
    <w:rsid w:val="00A025A6"/>
    <w:rsid w:val="00A02862"/>
    <w:rsid w:val="00A03E12"/>
    <w:rsid w:val="00A10808"/>
    <w:rsid w:val="00A12CC5"/>
    <w:rsid w:val="00A15E2C"/>
    <w:rsid w:val="00A16302"/>
    <w:rsid w:val="00A22DF0"/>
    <w:rsid w:val="00A2435A"/>
    <w:rsid w:val="00A24696"/>
    <w:rsid w:val="00A42044"/>
    <w:rsid w:val="00A57816"/>
    <w:rsid w:val="00A57B9D"/>
    <w:rsid w:val="00A62831"/>
    <w:rsid w:val="00A659FD"/>
    <w:rsid w:val="00A71BA7"/>
    <w:rsid w:val="00A76F18"/>
    <w:rsid w:val="00A81570"/>
    <w:rsid w:val="00A85645"/>
    <w:rsid w:val="00A902E5"/>
    <w:rsid w:val="00A908BC"/>
    <w:rsid w:val="00A94601"/>
    <w:rsid w:val="00A97497"/>
    <w:rsid w:val="00A974A3"/>
    <w:rsid w:val="00AA37F1"/>
    <w:rsid w:val="00AA5C46"/>
    <w:rsid w:val="00AB4573"/>
    <w:rsid w:val="00AC4833"/>
    <w:rsid w:val="00AD2896"/>
    <w:rsid w:val="00AD3119"/>
    <w:rsid w:val="00AE3E54"/>
    <w:rsid w:val="00AE44B1"/>
    <w:rsid w:val="00AF0B03"/>
    <w:rsid w:val="00AF1F10"/>
    <w:rsid w:val="00B00383"/>
    <w:rsid w:val="00B10BA0"/>
    <w:rsid w:val="00B151BD"/>
    <w:rsid w:val="00B36C67"/>
    <w:rsid w:val="00B60E2C"/>
    <w:rsid w:val="00B61706"/>
    <w:rsid w:val="00B67EB6"/>
    <w:rsid w:val="00B71647"/>
    <w:rsid w:val="00B91FF8"/>
    <w:rsid w:val="00B95803"/>
    <w:rsid w:val="00BA031D"/>
    <w:rsid w:val="00BB04EC"/>
    <w:rsid w:val="00BC0682"/>
    <w:rsid w:val="00BC52D5"/>
    <w:rsid w:val="00BC6876"/>
    <w:rsid w:val="00BD2EB1"/>
    <w:rsid w:val="00BD5A97"/>
    <w:rsid w:val="00BD61D6"/>
    <w:rsid w:val="00BD62DC"/>
    <w:rsid w:val="00BD7F49"/>
    <w:rsid w:val="00BE6CEC"/>
    <w:rsid w:val="00C07058"/>
    <w:rsid w:val="00C12FD5"/>
    <w:rsid w:val="00C17AB9"/>
    <w:rsid w:val="00C258FB"/>
    <w:rsid w:val="00C3019D"/>
    <w:rsid w:val="00C31D95"/>
    <w:rsid w:val="00C34346"/>
    <w:rsid w:val="00C44396"/>
    <w:rsid w:val="00C62ADA"/>
    <w:rsid w:val="00C72142"/>
    <w:rsid w:val="00C7284F"/>
    <w:rsid w:val="00C74F03"/>
    <w:rsid w:val="00C85349"/>
    <w:rsid w:val="00C87421"/>
    <w:rsid w:val="00C87C56"/>
    <w:rsid w:val="00C955EB"/>
    <w:rsid w:val="00CA3F54"/>
    <w:rsid w:val="00CB77F0"/>
    <w:rsid w:val="00CE3610"/>
    <w:rsid w:val="00CE52C4"/>
    <w:rsid w:val="00CF05A1"/>
    <w:rsid w:val="00CF192A"/>
    <w:rsid w:val="00CF33EF"/>
    <w:rsid w:val="00CF68EF"/>
    <w:rsid w:val="00D02F5B"/>
    <w:rsid w:val="00D10013"/>
    <w:rsid w:val="00D12F61"/>
    <w:rsid w:val="00D15C78"/>
    <w:rsid w:val="00D25CBC"/>
    <w:rsid w:val="00D26975"/>
    <w:rsid w:val="00D30EBE"/>
    <w:rsid w:val="00D34809"/>
    <w:rsid w:val="00D439E2"/>
    <w:rsid w:val="00D44D00"/>
    <w:rsid w:val="00D65800"/>
    <w:rsid w:val="00D706C7"/>
    <w:rsid w:val="00D72BD3"/>
    <w:rsid w:val="00D7693B"/>
    <w:rsid w:val="00D81A38"/>
    <w:rsid w:val="00D83142"/>
    <w:rsid w:val="00D8443C"/>
    <w:rsid w:val="00D85C10"/>
    <w:rsid w:val="00D87911"/>
    <w:rsid w:val="00D9152B"/>
    <w:rsid w:val="00D9360F"/>
    <w:rsid w:val="00D97F93"/>
    <w:rsid w:val="00DA2BEB"/>
    <w:rsid w:val="00DA3127"/>
    <w:rsid w:val="00DB085F"/>
    <w:rsid w:val="00DB607D"/>
    <w:rsid w:val="00DB6ADF"/>
    <w:rsid w:val="00DC0E42"/>
    <w:rsid w:val="00DC1585"/>
    <w:rsid w:val="00DD42B5"/>
    <w:rsid w:val="00DE151D"/>
    <w:rsid w:val="00DE7971"/>
    <w:rsid w:val="00DE7ACD"/>
    <w:rsid w:val="00DF0F6B"/>
    <w:rsid w:val="00DF3C3B"/>
    <w:rsid w:val="00DF3F89"/>
    <w:rsid w:val="00E05AB3"/>
    <w:rsid w:val="00E11FD4"/>
    <w:rsid w:val="00E22326"/>
    <w:rsid w:val="00E2783E"/>
    <w:rsid w:val="00E36A9D"/>
    <w:rsid w:val="00E41540"/>
    <w:rsid w:val="00E43B52"/>
    <w:rsid w:val="00E44369"/>
    <w:rsid w:val="00E4445B"/>
    <w:rsid w:val="00E471E3"/>
    <w:rsid w:val="00E50FA1"/>
    <w:rsid w:val="00E61737"/>
    <w:rsid w:val="00E74857"/>
    <w:rsid w:val="00E77D3D"/>
    <w:rsid w:val="00E81837"/>
    <w:rsid w:val="00E82FDC"/>
    <w:rsid w:val="00E86569"/>
    <w:rsid w:val="00EA040F"/>
    <w:rsid w:val="00EA3D9D"/>
    <w:rsid w:val="00EA526F"/>
    <w:rsid w:val="00EA6554"/>
    <w:rsid w:val="00EB3117"/>
    <w:rsid w:val="00EB7E23"/>
    <w:rsid w:val="00EC4048"/>
    <w:rsid w:val="00ED64E8"/>
    <w:rsid w:val="00EE3466"/>
    <w:rsid w:val="00EE6DEE"/>
    <w:rsid w:val="00EF1BFF"/>
    <w:rsid w:val="00F02B95"/>
    <w:rsid w:val="00F0713D"/>
    <w:rsid w:val="00F1459E"/>
    <w:rsid w:val="00F16D29"/>
    <w:rsid w:val="00F212A4"/>
    <w:rsid w:val="00F22246"/>
    <w:rsid w:val="00F33984"/>
    <w:rsid w:val="00F37529"/>
    <w:rsid w:val="00F47CAC"/>
    <w:rsid w:val="00F51F91"/>
    <w:rsid w:val="00F52A3D"/>
    <w:rsid w:val="00F54AD0"/>
    <w:rsid w:val="00F600D3"/>
    <w:rsid w:val="00F6375D"/>
    <w:rsid w:val="00F63988"/>
    <w:rsid w:val="00F64C88"/>
    <w:rsid w:val="00F67DB0"/>
    <w:rsid w:val="00F7749A"/>
    <w:rsid w:val="00F946DA"/>
    <w:rsid w:val="00F94E01"/>
    <w:rsid w:val="00FA6A1F"/>
    <w:rsid w:val="00FB68D3"/>
    <w:rsid w:val="00FC38D3"/>
    <w:rsid w:val="00FD0188"/>
    <w:rsid w:val="00FD05A2"/>
    <w:rsid w:val="00FD595A"/>
    <w:rsid w:val="00FD79AB"/>
    <w:rsid w:val="00FE23ED"/>
    <w:rsid w:val="00FF1466"/>
    <w:rsid w:val="00FF1511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946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946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83496600CF291EB4FFAA2AD865F213996994D99DD0FDE55176C290176ABDD1AB4ACB18A1CK5uDE" TargetMode="External"/><Relationship Id="rId13" Type="http://schemas.openxmlformats.org/officeDocument/2006/relationships/hyperlink" Target="consultantplus://offline/ref=C6783496600CF291EB4FFAA2AD865F213996994D99DD0FDE55176C290176ABDD1AB4ACB18A1EK5u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83496600CF291EB4FFAA2AD865F213996994D99DD0FDE55176C290176ABDD1AB4ACB18A1EK5u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783496600CF291EB4FFAA2AD865F213996994D99DD0FDE55176C290176ABDD1AB4ACB68718K5u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6783496600CF291EB4FFAA2AD865F213996994D99DD0FDE55176C290176ABDD1AB4ACB68718K5u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783496600CF291EB4FFAA2AD865F213996994D99DD0FDE55176C290176ABDD1AB4ACB18A1EK5u2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Н. Казакова</cp:lastModifiedBy>
  <cp:revision>2</cp:revision>
  <cp:lastPrinted>2022-02-24T05:40:00Z</cp:lastPrinted>
  <dcterms:created xsi:type="dcterms:W3CDTF">2023-03-29T12:24:00Z</dcterms:created>
  <dcterms:modified xsi:type="dcterms:W3CDTF">2023-03-29T12:24:00Z</dcterms:modified>
</cp:coreProperties>
</file>