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74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040"/>
        <w:gridCol w:w="1133"/>
        <w:gridCol w:w="3117"/>
        <w:gridCol w:w="1700"/>
        <w:gridCol w:w="56"/>
        <w:gridCol w:w="1700"/>
      </w:tblGrid>
      <w:tr w:rsidR="00D25CBC" w:rsidRPr="00374BBD" w:rsidTr="00502144">
        <w:trPr>
          <w:trHeight w:val="230"/>
        </w:trPr>
        <w:tc>
          <w:tcPr>
            <w:tcW w:w="974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  <w:bookmarkStart w:id="0" w:name="__bookmark_1"/>
            <w:bookmarkEnd w:id="0"/>
            <w:r w:rsidRPr="00374BBD">
              <w:rPr>
                <w:rFonts w:eastAsia="Arial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</w:tr>
      <w:tr w:rsidR="00D25CBC" w:rsidRPr="00374BBD" w:rsidTr="00502144">
        <w:trPr>
          <w:trHeight w:val="1"/>
        </w:trPr>
        <w:tc>
          <w:tcPr>
            <w:tcW w:w="974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D25CBC" w:rsidRPr="00374BBD" w:rsidTr="00502144">
        <w:tc>
          <w:tcPr>
            <w:tcW w:w="79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КОДЫ</w:t>
            </w:r>
          </w:p>
        </w:tc>
      </w:tr>
      <w:tr w:rsidR="00D25CBC" w:rsidRPr="00374BBD" w:rsidTr="00502144"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0503160</w:t>
            </w:r>
          </w:p>
        </w:tc>
      </w:tr>
      <w:tr w:rsidR="00D25CBC" w:rsidRPr="00374BBD" w:rsidTr="00502144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2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50"/>
            </w:tblGrid>
            <w:tr w:rsidR="00D25CBC" w:rsidRPr="00374BBD">
              <w:trPr>
                <w:jc w:val="center"/>
              </w:trPr>
              <w:tc>
                <w:tcPr>
                  <w:tcW w:w="4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D30EBE" w:rsidRDefault="00DB6ADF" w:rsidP="000D34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0EB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на 1 января 20</w:t>
                  </w:r>
                  <w:r w:rsidR="005E62AF" w:rsidRPr="00D30EB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0D3423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D30EB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FD05A2" w:rsidRDefault="00FD05A2" w:rsidP="000D3423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01.01.202</w:t>
            </w:r>
            <w:r w:rsidR="000D3423">
              <w:rPr>
                <w:rFonts w:eastAsia="Arial"/>
                <w:color w:val="000000"/>
                <w:sz w:val="24"/>
                <w:szCs w:val="24"/>
              </w:rPr>
              <w:t>4</w:t>
            </w: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Главный распорядитель, распорядитель,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получатель бюджетных средств, главный администратор,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администратор доходов бюджета,</w:t>
            </w:r>
            <w:bookmarkStart w:id="1" w:name="_GoBack"/>
            <w:bookmarkEnd w:id="1"/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35A" w:rsidRDefault="00A2435A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43886008</w:t>
            </w: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главный администратор, администратор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источников финансирования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7459FD">
        <w:trPr>
          <w:trHeight w:val="537"/>
        </w:trPr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дефицита бюджета</w:t>
            </w:r>
          </w:p>
        </w:tc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D30EBE" w:rsidRDefault="00DB6ADF">
            <w:pPr>
              <w:rPr>
                <w:rFonts w:eastAsia="Arial"/>
                <w:b/>
                <w:color w:val="000000"/>
                <w:sz w:val="24"/>
                <w:szCs w:val="24"/>
                <w:u w:val="single"/>
              </w:rPr>
            </w:pPr>
            <w:r w:rsidRPr="00D30EBE">
              <w:rPr>
                <w:rFonts w:eastAsia="Arial"/>
                <w:b/>
                <w:color w:val="000000"/>
                <w:sz w:val="24"/>
                <w:szCs w:val="24"/>
                <w:u w:val="single"/>
              </w:rPr>
              <w:t>Дума городского округа Тольятти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Глава по БК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900</w:t>
            </w:r>
          </w:p>
        </w:tc>
      </w:tr>
      <w:tr w:rsidR="00D25CBC" w:rsidRPr="00374BBD" w:rsidTr="00502144">
        <w:trPr>
          <w:trHeight w:val="226"/>
        </w:trPr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31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  <w:u w:val="single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 xml:space="preserve">Бюджет городского округа </w:t>
            </w:r>
            <w:proofErr w:type="spellStart"/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>.Т</w:t>
            </w:r>
            <w:proofErr w:type="gramEnd"/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>ольятти</w:t>
            </w:r>
            <w:proofErr w:type="spellEnd"/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(публично-правового образования)</w:t>
            </w:r>
          </w:p>
        </w:tc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56" w:type="dxa"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36740000000</w:t>
            </w:r>
          </w:p>
        </w:tc>
      </w:tr>
      <w:tr w:rsidR="00D25CBC" w:rsidRPr="00374BBD" w:rsidTr="00502144"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0"/>
            </w:tblGrid>
            <w:tr w:rsidR="00D25CBC" w:rsidRPr="00374BBD">
              <w:tc>
                <w:tcPr>
                  <w:tcW w:w="6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374BBD" w:rsidRDefault="00DB6ADF">
                  <w:pPr>
                    <w:rPr>
                      <w:sz w:val="24"/>
                      <w:szCs w:val="24"/>
                    </w:rPr>
                  </w:pP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>Периодичность: годовая</w:t>
                  </w:r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hidden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0"/>
            </w:tblGrid>
            <w:tr w:rsidR="00D25CBC" w:rsidRPr="00374BBD">
              <w:tc>
                <w:tcPr>
                  <w:tcW w:w="6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374BBD" w:rsidRDefault="00DB6ADF">
                  <w:pPr>
                    <w:rPr>
                      <w:sz w:val="24"/>
                      <w:szCs w:val="24"/>
                    </w:rPr>
                  </w:pP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Единица измерения: </w:t>
                  </w:r>
                  <w:proofErr w:type="spellStart"/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383</w:t>
            </w:r>
          </w:p>
        </w:tc>
      </w:tr>
    </w:tbl>
    <w:p w:rsidR="00D25CBC" w:rsidRPr="00374BBD" w:rsidRDefault="00D25CBC">
      <w:pPr>
        <w:rPr>
          <w:vanish/>
          <w:sz w:val="24"/>
          <w:szCs w:val="24"/>
        </w:rPr>
      </w:pPr>
      <w:bookmarkStart w:id="2" w:name="__bookmark_2"/>
      <w:bookmarkEnd w:id="2"/>
    </w:p>
    <w:tbl>
      <w:tblPr>
        <w:tblOverlap w:val="never"/>
        <w:tblW w:w="9640" w:type="dxa"/>
        <w:tblInd w:w="-261" w:type="dxa"/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6"/>
        <w:gridCol w:w="1606"/>
        <w:gridCol w:w="1606"/>
        <w:gridCol w:w="1610"/>
      </w:tblGrid>
      <w:tr w:rsidR="00D25CBC" w:rsidRPr="00374BBD" w:rsidTr="002059B1">
        <w:trPr>
          <w:tblHeader/>
        </w:trPr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6623AE" w:rsidTr="002059B1">
        <w:trPr>
          <w:trHeight w:val="184"/>
        </w:trPr>
        <w:tc>
          <w:tcPr>
            <w:tcW w:w="9640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2E5" w:rsidRPr="007916F7" w:rsidRDefault="00DB6ADF" w:rsidP="006E0201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Общие сведения</w:t>
            </w:r>
            <w:r w:rsidR="00A902E5" w:rsidRPr="007916F7">
              <w:rPr>
                <w:rFonts w:eastAsia="Arial"/>
                <w:sz w:val="24"/>
                <w:szCs w:val="24"/>
              </w:rPr>
              <w:t xml:space="preserve"> </w:t>
            </w:r>
          </w:p>
          <w:p w:rsidR="009F0786" w:rsidRPr="007916F7" w:rsidRDefault="00FF1511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ИНН 6320011852, КПП 632401001 Юридический адрес: Россия, Самарская обл., 445023, </w:t>
            </w:r>
            <w:proofErr w:type="spellStart"/>
            <w:r w:rsidRPr="007916F7">
              <w:rPr>
                <w:rFonts w:eastAsia="Arial"/>
                <w:sz w:val="24"/>
                <w:szCs w:val="24"/>
              </w:rPr>
              <w:t>г</w:t>
            </w:r>
            <w:proofErr w:type="gramStart"/>
            <w:r w:rsidRPr="007916F7">
              <w:rPr>
                <w:rFonts w:eastAsia="Arial"/>
                <w:sz w:val="24"/>
                <w:szCs w:val="24"/>
              </w:rPr>
              <w:t>.Т</w:t>
            </w:r>
            <w:proofErr w:type="gramEnd"/>
            <w:r w:rsidRPr="007916F7">
              <w:rPr>
                <w:rFonts w:eastAsia="Arial"/>
                <w:sz w:val="24"/>
                <w:szCs w:val="24"/>
              </w:rPr>
              <w:t>ольятти</w:t>
            </w:r>
            <w:proofErr w:type="spellEnd"/>
            <w:r w:rsidRPr="007916F7">
              <w:rPr>
                <w:rFonts w:eastAsia="Arial"/>
                <w:sz w:val="24"/>
                <w:szCs w:val="24"/>
              </w:rPr>
              <w:t xml:space="preserve">, Центральная площадь, дом 4. </w:t>
            </w:r>
          </w:p>
          <w:p w:rsidR="009F0786" w:rsidRPr="007916F7" w:rsidRDefault="000D3423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Первая подпись: </w:t>
            </w:r>
            <w:proofErr w:type="spellStart"/>
            <w:r w:rsidRPr="007916F7">
              <w:rPr>
                <w:rFonts w:eastAsia="Arial"/>
                <w:sz w:val="24"/>
                <w:szCs w:val="24"/>
              </w:rPr>
              <w:t>Передседатель</w:t>
            </w:r>
            <w:proofErr w:type="spellEnd"/>
            <w:r w:rsidRPr="007916F7">
              <w:rPr>
                <w:rFonts w:eastAsia="Arial"/>
                <w:sz w:val="24"/>
                <w:szCs w:val="24"/>
              </w:rPr>
              <w:t xml:space="preserve"> - </w:t>
            </w:r>
            <w:proofErr w:type="spellStart"/>
            <w:r w:rsidRPr="007916F7">
              <w:rPr>
                <w:rFonts w:eastAsia="Arial"/>
                <w:sz w:val="24"/>
                <w:szCs w:val="24"/>
              </w:rPr>
              <w:t>Рузанов</w:t>
            </w:r>
            <w:proofErr w:type="spellEnd"/>
            <w:r w:rsidRPr="007916F7">
              <w:rPr>
                <w:rFonts w:eastAsia="Arial"/>
                <w:sz w:val="24"/>
                <w:szCs w:val="24"/>
              </w:rPr>
              <w:t xml:space="preserve"> С.Ю., первый заместитель председателя Думы - Спиваков Н.Н., руководитель аппарата Думы - Митрофанова Н.А., заместитель руководителя аппарата Думы городского округа - </w:t>
            </w:r>
            <w:proofErr w:type="spellStart"/>
            <w:r w:rsidRPr="007916F7">
              <w:rPr>
                <w:rFonts w:eastAsia="Arial"/>
                <w:sz w:val="24"/>
                <w:szCs w:val="24"/>
              </w:rPr>
              <w:t>Шарафан</w:t>
            </w:r>
            <w:proofErr w:type="spellEnd"/>
            <w:r w:rsidRPr="007916F7">
              <w:rPr>
                <w:rFonts w:eastAsia="Arial"/>
                <w:sz w:val="24"/>
                <w:szCs w:val="24"/>
              </w:rPr>
              <w:t xml:space="preserve"> Е.В. (доверенность № 22 от 04.10.2023г.)</w:t>
            </w:r>
            <w:r w:rsidR="00FF1511" w:rsidRPr="007916F7">
              <w:rPr>
                <w:rFonts w:eastAsia="Arial"/>
                <w:sz w:val="24"/>
                <w:szCs w:val="24"/>
              </w:rPr>
              <w:t xml:space="preserve"> </w:t>
            </w:r>
          </w:p>
          <w:p w:rsidR="00D25CBC" w:rsidRPr="007916F7" w:rsidRDefault="00FF1511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Вторая подпись: Начальник отдела бухгалтерского учета и отчетности </w:t>
            </w:r>
            <w:r w:rsidR="005E62AF" w:rsidRPr="007916F7">
              <w:rPr>
                <w:rFonts w:eastAsia="Arial"/>
                <w:sz w:val="24"/>
                <w:szCs w:val="24"/>
              </w:rPr>
              <w:t>–</w:t>
            </w:r>
            <w:r w:rsidRPr="007916F7">
              <w:rPr>
                <w:rFonts w:eastAsia="Arial"/>
                <w:sz w:val="24"/>
                <w:szCs w:val="24"/>
              </w:rPr>
              <w:t xml:space="preserve"> Каменских Любовь Дмитриевна, заместитель начальника отдела бухгалтерского учета и отчетности </w:t>
            </w:r>
            <w:r w:rsidR="005E62AF" w:rsidRPr="007916F7">
              <w:rPr>
                <w:rFonts w:eastAsia="Arial"/>
                <w:sz w:val="24"/>
                <w:szCs w:val="24"/>
              </w:rPr>
              <w:t>–</w:t>
            </w:r>
            <w:r w:rsidRPr="007916F7">
              <w:rPr>
                <w:rFonts w:eastAsia="Arial"/>
                <w:sz w:val="24"/>
                <w:szCs w:val="24"/>
              </w:rPr>
              <w:t xml:space="preserve"> Казакова Елена Николаевна</w:t>
            </w:r>
          </w:p>
          <w:p w:rsidR="00A94601" w:rsidRPr="007916F7" w:rsidRDefault="00A94601" w:rsidP="00512066">
            <w:pPr>
              <w:spacing w:line="360" w:lineRule="auto"/>
              <w:jc w:val="both"/>
              <w:rPr>
                <w:rFonts w:eastAsia="Arial"/>
                <w:b/>
                <w:sz w:val="24"/>
                <w:szCs w:val="24"/>
              </w:rPr>
            </w:pPr>
          </w:p>
          <w:p w:rsidR="00512066" w:rsidRPr="007916F7" w:rsidRDefault="00512066" w:rsidP="00512066">
            <w:pPr>
              <w:spacing w:line="360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7916F7">
              <w:rPr>
                <w:rFonts w:eastAsia="Arial"/>
                <w:b/>
                <w:sz w:val="24"/>
                <w:szCs w:val="24"/>
              </w:rPr>
              <w:t>Раздел 1 «Организационная структура субъекта бюджетной отчетности»</w:t>
            </w:r>
          </w:p>
          <w:p w:rsidR="00B36C67" w:rsidRPr="007916F7" w:rsidRDefault="00512066" w:rsidP="0099685B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   Дума городского округа Тольятти является представительным органом местного самоуправления, действует на основании устава городского округа Тольятти, занимается решением вопросов местного значения и принимает нормативно-правовые акты в</w:t>
            </w:r>
            <w:r w:rsidR="00071DED" w:rsidRPr="007916F7">
              <w:rPr>
                <w:rFonts w:eastAsia="Arial"/>
                <w:sz w:val="24"/>
                <w:szCs w:val="24"/>
              </w:rPr>
              <w:t xml:space="preserve"> пределах своей компетенции. </w:t>
            </w:r>
            <w:r w:rsidRPr="007916F7">
              <w:rPr>
                <w:rFonts w:eastAsia="Arial"/>
                <w:sz w:val="24"/>
                <w:szCs w:val="24"/>
              </w:rPr>
              <w:t xml:space="preserve">Подведомственных учреждений не имеет, является главным распорядителем бюджетных средств и главным администратором доходов бюджета. </w:t>
            </w:r>
          </w:p>
          <w:p w:rsidR="00A94601" w:rsidRPr="007916F7" w:rsidRDefault="00A94601" w:rsidP="00512066">
            <w:pPr>
              <w:spacing w:line="360" w:lineRule="auto"/>
              <w:jc w:val="both"/>
              <w:rPr>
                <w:rFonts w:eastAsia="Arial"/>
                <w:b/>
                <w:sz w:val="24"/>
                <w:szCs w:val="24"/>
              </w:rPr>
            </w:pPr>
          </w:p>
          <w:p w:rsidR="00512066" w:rsidRPr="007916F7" w:rsidRDefault="00512066" w:rsidP="00512066">
            <w:pPr>
              <w:spacing w:line="360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7916F7">
              <w:rPr>
                <w:rFonts w:eastAsia="Arial"/>
                <w:b/>
                <w:sz w:val="24"/>
                <w:szCs w:val="24"/>
              </w:rPr>
              <w:t>Раздел 2 «Результаты деятельности субъекта бюджетной отчетности»</w:t>
            </w:r>
          </w:p>
          <w:p w:rsidR="00512066" w:rsidRPr="007916F7" w:rsidRDefault="00512066" w:rsidP="0099685B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     Из утвержденных бюджетных назначений в сумме 1</w:t>
            </w:r>
            <w:r w:rsidR="00311760" w:rsidRPr="007916F7">
              <w:rPr>
                <w:rFonts w:eastAsia="Arial"/>
                <w:sz w:val="24"/>
                <w:szCs w:val="24"/>
              </w:rPr>
              <w:t>30 696 357,53</w:t>
            </w:r>
            <w:r w:rsidRPr="007916F7">
              <w:rPr>
                <w:rFonts w:eastAsia="Arial"/>
                <w:sz w:val="24"/>
                <w:szCs w:val="24"/>
              </w:rPr>
              <w:t xml:space="preserve"> руб., израсходовано </w:t>
            </w:r>
            <w:r w:rsidR="00AD0304" w:rsidRPr="007916F7">
              <w:rPr>
                <w:rFonts w:eastAsia="Arial"/>
                <w:sz w:val="24"/>
                <w:szCs w:val="24"/>
              </w:rPr>
              <w:t>1</w:t>
            </w:r>
            <w:r w:rsidR="00311760" w:rsidRPr="007916F7">
              <w:rPr>
                <w:rFonts w:eastAsia="Arial"/>
                <w:sz w:val="24"/>
                <w:szCs w:val="24"/>
              </w:rPr>
              <w:t>29 948 377,42</w:t>
            </w:r>
            <w:r w:rsidRPr="007916F7">
              <w:rPr>
                <w:rFonts w:eastAsia="Arial"/>
                <w:sz w:val="24"/>
                <w:szCs w:val="24"/>
              </w:rPr>
              <w:t xml:space="preserve"> руб. не</w:t>
            </w:r>
            <w:r w:rsidR="00311760" w:rsidRPr="007916F7">
              <w:rPr>
                <w:rFonts w:eastAsia="Arial"/>
                <w:sz w:val="24"/>
                <w:szCs w:val="24"/>
              </w:rPr>
              <w:t xml:space="preserve">исполнение </w:t>
            </w:r>
            <w:r w:rsidR="005F7C4D" w:rsidRPr="007916F7">
              <w:rPr>
                <w:rFonts w:eastAsia="Arial"/>
                <w:sz w:val="24"/>
                <w:szCs w:val="24"/>
              </w:rPr>
              <w:t>по ассигнованиям</w:t>
            </w:r>
            <w:r w:rsidRPr="007916F7">
              <w:rPr>
                <w:rFonts w:eastAsia="Arial"/>
                <w:sz w:val="24"/>
                <w:szCs w:val="24"/>
              </w:rPr>
              <w:t xml:space="preserve"> составляет </w:t>
            </w:r>
            <w:r w:rsidR="00F256D6" w:rsidRPr="007916F7">
              <w:rPr>
                <w:rFonts w:eastAsia="Arial"/>
                <w:sz w:val="24"/>
                <w:szCs w:val="24"/>
              </w:rPr>
              <w:t>747 980,11</w:t>
            </w:r>
            <w:r w:rsidRPr="007916F7">
              <w:rPr>
                <w:rFonts w:eastAsia="Arial"/>
                <w:sz w:val="24"/>
                <w:szCs w:val="24"/>
              </w:rPr>
              <w:t xml:space="preserve"> руб.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Проводятся меры по повышению эффективности расходования бюджетных средств: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- Закупка товаров, выполнение работ и услуг проводится конкурентным способом на основе проведения торгов путем аукционов</w:t>
            </w:r>
            <w:r w:rsidR="001976AD" w:rsidRPr="007916F7">
              <w:rPr>
                <w:rFonts w:eastAsia="Arial"/>
                <w:sz w:val="24"/>
                <w:szCs w:val="24"/>
              </w:rPr>
              <w:t xml:space="preserve">. </w:t>
            </w:r>
            <w:r w:rsidRPr="007916F7">
              <w:rPr>
                <w:rFonts w:eastAsia="Arial"/>
                <w:sz w:val="24"/>
                <w:szCs w:val="24"/>
              </w:rPr>
              <w:t xml:space="preserve">Оплата производится по факту поставки товаров, выполнения работ и услуг, что приводит к уменьшению дебиторской и кредиторской задолженности;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- Установление ежемесячного лимита расходования ГСМ и утверждение норм расхода ГСМ.        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   </w:t>
            </w:r>
            <w:r w:rsidR="00BC24CF" w:rsidRPr="007916F7">
              <w:rPr>
                <w:rFonts w:eastAsia="Arial"/>
                <w:sz w:val="24"/>
                <w:szCs w:val="24"/>
              </w:rPr>
              <w:t xml:space="preserve">   </w:t>
            </w:r>
            <w:r w:rsidRPr="007916F7">
              <w:rPr>
                <w:rFonts w:eastAsia="Arial"/>
                <w:sz w:val="24"/>
                <w:szCs w:val="24"/>
              </w:rPr>
              <w:t xml:space="preserve">Согласно 44-ФЗ от 05.04.2013 «О контрактной системе в сфере закупок товаров, работ, </w:t>
            </w:r>
            <w:r w:rsidRPr="007916F7">
              <w:rPr>
                <w:rFonts w:eastAsia="Arial"/>
                <w:sz w:val="24"/>
                <w:szCs w:val="24"/>
              </w:rPr>
              <w:lastRenderedPageBreak/>
              <w:t xml:space="preserve">услуг для обеспечения государственных и муниципальных нужд» закупка товаров, выполнение работ и услуг в Думе производится конкурентным способом - проведением торгов.      </w:t>
            </w:r>
          </w:p>
          <w:p w:rsidR="007916F7" w:rsidRPr="002368B8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В результате экономия от торгов в 202</w:t>
            </w:r>
            <w:r w:rsidR="005E2B36" w:rsidRPr="007916F7">
              <w:rPr>
                <w:rFonts w:eastAsia="Arial"/>
                <w:sz w:val="24"/>
                <w:szCs w:val="24"/>
              </w:rPr>
              <w:t>3</w:t>
            </w:r>
            <w:r w:rsidRPr="007916F7">
              <w:rPr>
                <w:rFonts w:eastAsia="Arial"/>
                <w:sz w:val="24"/>
                <w:szCs w:val="24"/>
              </w:rPr>
              <w:t xml:space="preserve"> году составила </w:t>
            </w:r>
            <w:r w:rsidR="00125149" w:rsidRPr="007916F7">
              <w:rPr>
                <w:rFonts w:eastAsia="Arial"/>
                <w:sz w:val="24"/>
                <w:szCs w:val="24"/>
              </w:rPr>
              <w:t>2</w:t>
            </w:r>
            <w:r w:rsidR="005E2B36" w:rsidRPr="007916F7">
              <w:rPr>
                <w:rFonts w:eastAsia="Arial"/>
                <w:sz w:val="24"/>
                <w:szCs w:val="24"/>
              </w:rPr>
              <w:t> 615 807,83</w:t>
            </w:r>
            <w:r w:rsidR="00E53364" w:rsidRPr="007916F7">
              <w:rPr>
                <w:rFonts w:eastAsia="Arial"/>
                <w:sz w:val="24"/>
                <w:szCs w:val="24"/>
              </w:rPr>
              <w:t xml:space="preserve"> руб., из которых </w:t>
            </w:r>
            <w:r w:rsidR="00B43C9C" w:rsidRPr="007916F7">
              <w:rPr>
                <w:rFonts w:eastAsia="Arial"/>
                <w:sz w:val="24"/>
                <w:szCs w:val="24"/>
              </w:rPr>
              <w:t>1</w:t>
            </w:r>
            <w:r w:rsidR="007916F7" w:rsidRPr="007916F7">
              <w:rPr>
                <w:rFonts w:eastAsia="Arial"/>
                <w:sz w:val="24"/>
                <w:szCs w:val="24"/>
              </w:rPr>
              <w:t> </w:t>
            </w:r>
            <w:r w:rsidR="00B43C9C" w:rsidRPr="007916F7">
              <w:rPr>
                <w:rFonts w:eastAsia="Arial"/>
                <w:sz w:val="24"/>
                <w:szCs w:val="24"/>
              </w:rPr>
              <w:t>29</w:t>
            </w:r>
            <w:r w:rsidR="007916F7" w:rsidRPr="007916F7">
              <w:rPr>
                <w:rFonts w:eastAsia="Arial"/>
                <w:sz w:val="24"/>
                <w:szCs w:val="24"/>
              </w:rPr>
              <w:t>1 000,00</w:t>
            </w:r>
            <w:r w:rsidR="00B43C9C" w:rsidRPr="007916F7">
              <w:rPr>
                <w:rFonts w:eastAsia="Arial"/>
                <w:sz w:val="24"/>
                <w:szCs w:val="24"/>
              </w:rPr>
              <w:t xml:space="preserve"> </w:t>
            </w:r>
            <w:r w:rsidRPr="007916F7">
              <w:rPr>
                <w:rFonts w:eastAsia="Arial"/>
                <w:sz w:val="24"/>
                <w:szCs w:val="24"/>
              </w:rPr>
              <w:t>руб. направлены на погашение дефицита бюджета городского округа Тольятти</w:t>
            </w:r>
            <w:r w:rsidR="003E2CEB" w:rsidRPr="007916F7">
              <w:rPr>
                <w:rFonts w:eastAsia="Arial"/>
                <w:sz w:val="24"/>
                <w:szCs w:val="24"/>
              </w:rPr>
              <w:t xml:space="preserve">, </w:t>
            </w:r>
            <w:r w:rsidR="007916F7" w:rsidRPr="007916F7">
              <w:rPr>
                <w:rFonts w:eastAsia="Arial"/>
                <w:sz w:val="24"/>
                <w:szCs w:val="24"/>
              </w:rPr>
              <w:t>1 291 300,00</w:t>
            </w:r>
            <w:r w:rsidR="003E2CEB" w:rsidRPr="007916F7">
              <w:rPr>
                <w:rFonts w:eastAsia="Arial"/>
                <w:sz w:val="24"/>
                <w:szCs w:val="24"/>
              </w:rPr>
              <w:t xml:space="preserve"> руб. направлено на нужды Думы</w:t>
            </w:r>
            <w:r w:rsidRPr="007916F7">
              <w:rPr>
                <w:rFonts w:eastAsia="Arial"/>
                <w:sz w:val="24"/>
                <w:szCs w:val="24"/>
              </w:rPr>
              <w:t xml:space="preserve">. </w:t>
            </w:r>
            <w:r w:rsidR="007916F7" w:rsidRPr="002368B8">
              <w:rPr>
                <w:rFonts w:eastAsia="Arial"/>
                <w:sz w:val="24"/>
                <w:szCs w:val="24"/>
              </w:rPr>
              <w:t>Оставшаяся экономия от заключенных контрактов образовалась в декабре 202</w:t>
            </w:r>
            <w:r w:rsidR="002368B8">
              <w:rPr>
                <w:rFonts w:eastAsia="Arial"/>
                <w:sz w:val="24"/>
                <w:szCs w:val="24"/>
              </w:rPr>
              <w:t>3</w:t>
            </w:r>
            <w:r w:rsidR="007916F7" w:rsidRPr="002368B8">
              <w:rPr>
                <w:rFonts w:eastAsia="Arial"/>
                <w:sz w:val="24"/>
                <w:szCs w:val="24"/>
              </w:rPr>
              <w:t xml:space="preserve"> года, возможности закрытия данной экономии не было возможным.            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Среднесписочная численность составляет </w:t>
            </w:r>
            <w:r w:rsidR="00E53364" w:rsidRPr="007916F7">
              <w:rPr>
                <w:rFonts w:eastAsia="Arial"/>
                <w:sz w:val="24"/>
                <w:szCs w:val="24"/>
              </w:rPr>
              <w:t>9</w:t>
            </w:r>
            <w:r w:rsidR="009B5383" w:rsidRPr="007916F7">
              <w:rPr>
                <w:rFonts w:eastAsia="Arial"/>
                <w:sz w:val="24"/>
                <w:szCs w:val="24"/>
              </w:rPr>
              <w:t>4</w:t>
            </w:r>
            <w:r w:rsidRPr="007916F7">
              <w:rPr>
                <w:rFonts w:eastAsia="Arial"/>
                <w:sz w:val="24"/>
                <w:szCs w:val="24"/>
              </w:rPr>
              <w:t xml:space="preserve"> чел., в том числе: </w:t>
            </w:r>
          </w:p>
          <w:p w:rsidR="00512066" w:rsidRPr="007916F7" w:rsidRDefault="009B5383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М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униципальных служащих – </w:t>
            </w:r>
            <w:r w:rsidR="00E53364" w:rsidRPr="007916F7">
              <w:rPr>
                <w:rFonts w:eastAsia="Arial"/>
                <w:sz w:val="24"/>
                <w:szCs w:val="24"/>
              </w:rPr>
              <w:t>5</w:t>
            </w:r>
            <w:r w:rsidRPr="007916F7">
              <w:rPr>
                <w:rFonts w:eastAsia="Arial"/>
                <w:sz w:val="24"/>
                <w:szCs w:val="24"/>
              </w:rPr>
              <w:t>4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чел.,  технических работников – 3</w:t>
            </w:r>
            <w:r w:rsidR="00E53364" w:rsidRPr="007916F7">
              <w:rPr>
                <w:rFonts w:eastAsia="Arial"/>
                <w:sz w:val="24"/>
                <w:szCs w:val="24"/>
              </w:rPr>
              <w:t>7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чел., выборных – 3 чел</w:t>
            </w:r>
            <w:r w:rsidRPr="007916F7">
              <w:rPr>
                <w:rFonts w:eastAsia="Arial"/>
                <w:sz w:val="24"/>
                <w:szCs w:val="24"/>
              </w:rPr>
              <w:t>.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</w:t>
            </w:r>
          </w:p>
          <w:p w:rsidR="00512066" w:rsidRPr="007916F7" w:rsidRDefault="001976AD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За счет сметы Думы в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202</w:t>
            </w:r>
            <w:r w:rsidR="00327406" w:rsidRPr="007916F7">
              <w:rPr>
                <w:rFonts w:eastAsia="Arial"/>
                <w:sz w:val="24"/>
                <w:szCs w:val="24"/>
              </w:rPr>
              <w:t>3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</w:t>
            </w:r>
            <w:r w:rsidR="00327406" w:rsidRPr="007916F7">
              <w:rPr>
                <w:rFonts w:eastAsia="Arial"/>
                <w:sz w:val="24"/>
                <w:szCs w:val="24"/>
              </w:rPr>
              <w:t xml:space="preserve">прошли 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обучение и повышение квалификации </w:t>
            </w:r>
            <w:r w:rsidR="00327406" w:rsidRPr="007916F7">
              <w:rPr>
                <w:rFonts w:eastAsia="Arial"/>
                <w:sz w:val="24"/>
                <w:szCs w:val="24"/>
              </w:rPr>
              <w:t>2 сотрудника.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В Думе числится 2</w:t>
            </w:r>
            <w:r w:rsidR="009F0786" w:rsidRPr="007916F7">
              <w:rPr>
                <w:rFonts w:eastAsia="Arial"/>
                <w:sz w:val="24"/>
                <w:szCs w:val="24"/>
              </w:rPr>
              <w:t>30</w:t>
            </w:r>
            <w:r w:rsidRPr="007916F7">
              <w:rPr>
                <w:rFonts w:eastAsia="Arial"/>
                <w:sz w:val="24"/>
                <w:szCs w:val="24"/>
              </w:rPr>
              <w:t xml:space="preserve"> единиц компьютерной и офисной техники. </w:t>
            </w:r>
            <w:r w:rsidR="002C09F8" w:rsidRPr="007916F7">
              <w:rPr>
                <w:rFonts w:eastAsia="Arial"/>
                <w:sz w:val="24"/>
                <w:szCs w:val="24"/>
              </w:rPr>
              <w:t>3</w:t>
            </w:r>
            <w:r w:rsidRPr="007916F7">
              <w:rPr>
                <w:rFonts w:eastAsia="Arial"/>
                <w:sz w:val="24"/>
                <w:szCs w:val="24"/>
              </w:rPr>
              <w:t xml:space="preserve">0% единиц соответствуют минимальным техническим требованиям, </w:t>
            </w:r>
            <w:r w:rsidR="002C09F8" w:rsidRPr="007916F7">
              <w:rPr>
                <w:rFonts w:eastAsia="Arial"/>
                <w:sz w:val="24"/>
                <w:szCs w:val="24"/>
              </w:rPr>
              <w:t>7</w:t>
            </w:r>
            <w:r w:rsidRPr="007916F7">
              <w:rPr>
                <w:rFonts w:eastAsia="Arial"/>
                <w:sz w:val="24"/>
                <w:szCs w:val="24"/>
              </w:rPr>
              <w:t xml:space="preserve">0% единиц требуют обновления. </w:t>
            </w:r>
            <w:proofErr w:type="gramStart"/>
            <w:r w:rsidRPr="007916F7">
              <w:rPr>
                <w:rFonts w:eastAsia="Arial"/>
                <w:sz w:val="24"/>
                <w:szCs w:val="24"/>
              </w:rPr>
              <w:t>Модернизация существующего парка компьютеров нецелесообразна и невозможна по причине отсутствия совместимых комплектующих в свободной продаже.</w:t>
            </w:r>
            <w:proofErr w:type="gramEnd"/>
            <w:r w:rsidRPr="007916F7">
              <w:rPr>
                <w:rFonts w:eastAsia="Arial"/>
                <w:sz w:val="24"/>
                <w:szCs w:val="24"/>
              </w:rPr>
              <w:t xml:space="preserve"> Существующая в организации компьютерная и офисная техника технически устарела. </w:t>
            </w:r>
          </w:p>
          <w:p w:rsidR="00A94601" w:rsidRPr="007916F7" w:rsidRDefault="00A94601" w:rsidP="0099685B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7916F7">
              <w:rPr>
                <w:rFonts w:eastAsia="Arial"/>
                <w:b/>
                <w:sz w:val="24"/>
                <w:szCs w:val="24"/>
              </w:rPr>
              <w:t>Раздел 3 «Анализ отчета об исполнении бюджета субъектом бюджетной отчетности»</w:t>
            </w:r>
            <w:r w:rsidRPr="007916F7">
              <w:rPr>
                <w:rFonts w:eastAsia="Arial"/>
                <w:b/>
                <w:sz w:val="24"/>
                <w:szCs w:val="24"/>
              </w:rPr>
              <w:tab/>
              <w:t xml:space="preserve">    </w:t>
            </w:r>
          </w:p>
          <w:p w:rsidR="002C09F8" w:rsidRPr="007916F7" w:rsidRDefault="00CB07FF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    </w:t>
            </w:r>
          </w:p>
          <w:p w:rsidR="00CB07FF" w:rsidRPr="007916F7" w:rsidRDefault="002C09F8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     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Решением </w:t>
            </w:r>
            <w:r w:rsidR="00F3067E" w:rsidRPr="007916F7">
              <w:rPr>
                <w:rFonts w:eastAsia="Arial"/>
                <w:sz w:val="24"/>
                <w:szCs w:val="24"/>
              </w:rPr>
              <w:t>Думы городского округа Тольятти  № 1418  от 23.11.2022 г.  "О бюджете городского округа Тольятти на 2023 год и плановый период 2024 и 2025 годов"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принят бюджет городского </w:t>
            </w:r>
            <w:proofErr w:type="gramStart"/>
            <w:r w:rsidR="00512066" w:rsidRPr="007916F7">
              <w:rPr>
                <w:rFonts w:eastAsia="Arial"/>
                <w:sz w:val="24"/>
                <w:szCs w:val="24"/>
              </w:rPr>
              <w:t>округа</w:t>
            </w:r>
            <w:proofErr w:type="gramEnd"/>
            <w:r w:rsidR="00512066" w:rsidRPr="007916F7">
              <w:rPr>
                <w:rFonts w:eastAsia="Arial"/>
                <w:sz w:val="24"/>
                <w:szCs w:val="24"/>
              </w:rPr>
              <w:t xml:space="preserve"> Тольятти, ассигнования составили 1</w:t>
            </w:r>
            <w:r w:rsidR="00F10108" w:rsidRPr="007916F7">
              <w:rPr>
                <w:rFonts w:eastAsia="Arial"/>
                <w:sz w:val="24"/>
                <w:szCs w:val="24"/>
              </w:rPr>
              <w:t>15 218 000</w:t>
            </w:r>
            <w:r w:rsidR="00512066" w:rsidRPr="007916F7">
              <w:rPr>
                <w:rFonts w:eastAsia="Arial"/>
                <w:sz w:val="24"/>
                <w:szCs w:val="24"/>
              </w:rPr>
              <w:t>,00 руб</w:t>
            </w:r>
            <w:r w:rsidR="00F10108" w:rsidRPr="007916F7">
              <w:rPr>
                <w:rFonts w:eastAsia="Arial"/>
                <w:sz w:val="24"/>
                <w:szCs w:val="24"/>
              </w:rPr>
              <w:t>.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В течение года вноси</w:t>
            </w:r>
            <w:r w:rsidR="003E4206" w:rsidRPr="007916F7">
              <w:rPr>
                <w:rFonts w:eastAsia="Arial"/>
                <w:sz w:val="24"/>
                <w:szCs w:val="24"/>
              </w:rPr>
              <w:t>лись изменения в данное решение</w:t>
            </w:r>
            <w:r w:rsidR="009D0D90" w:rsidRPr="007916F7">
              <w:rPr>
                <w:rFonts w:eastAsia="Arial"/>
                <w:sz w:val="24"/>
                <w:szCs w:val="24"/>
              </w:rPr>
              <w:t xml:space="preserve"> в связи</w:t>
            </w:r>
            <w:r w:rsidR="00311760" w:rsidRPr="007916F7">
              <w:rPr>
                <w:rFonts w:eastAsia="Arial"/>
                <w:sz w:val="24"/>
                <w:szCs w:val="24"/>
              </w:rPr>
              <w:t xml:space="preserve"> с </w:t>
            </w:r>
            <w:r w:rsidR="00CB07FF" w:rsidRPr="007916F7">
              <w:rPr>
                <w:rFonts w:eastAsia="Arial"/>
                <w:sz w:val="24"/>
                <w:szCs w:val="24"/>
              </w:rPr>
              <w:t xml:space="preserve">выделением дополнительных ассигнований на ремонт фасадов здания объекта культурного наследия и </w:t>
            </w:r>
            <w:r w:rsidR="00512066" w:rsidRPr="007916F7">
              <w:rPr>
                <w:rFonts w:eastAsia="Arial"/>
                <w:sz w:val="24"/>
                <w:szCs w:val="24"/>
              </w:rPr>
              <w:t>закры</w:t>
            </w:r>
            <w:r w:rsidR="009D0D90" w:rsidRPr="007916F7">
              <w:rPr>
                <w:rFonts w:eastAsia="Arial"/>
                <w:sz w:val="24"/>
                <w:szCs w:val="24"/>
              </w:rPr>
              <w:t>тием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эк</w:t>
            </w:r>
            <w:r w:rsidR="00CB07FF" w:rsidRPr="007916F7">
              <w:rPr>
                <w:rFonts w:eastAsia="Arial"/>
                <w:sz w:val="24"/>
                <w:szCs w:val="24"/>
              </w:rPr>
              <w:t>ономи</w:t>
            </w:r>
            <w:r w:rsidR="007A60AE" w:rsidRPr="007916F7">
              <w:rPr>
                <w:rFonts w:eastAsia="Arial"/>
                <w:sz w:val="24"/>
                <w:szCs w:val="24"/>
              </w:rPr>
              <w:t>и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от торгов. </w:t>
            </w:r>
          </w:p>
          <w:p w:rsidR="00512066" w:rsidRPr="007916F7" w:rsidRDefault="00CB07FF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     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На конец года бюджетные ассигнования Думы городского округа Тольятти составили </w:t>
            </w:r>
            <w:r w:rsidRPr="007916F7">
              <w:rPr>
                <w:rFonts w:eastAsia="Arial"/>
                <w:sz w:val="24"/>
                <w:szCs w:val="24"/>
              </w:rPr>
              <w:t>130 696 357,53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руб. Исполнение  бюджета составило </w:t>
            </w:r>
            <w:r w:rsidRPr="007916F7">
              <w:rPr>
                <w:rFonts w:eastAsia="Arial"/>
                <w:sz w:val="24"/>
                <w:szCs w:val="24"/>
              </w:rPr>
              <w:t>129 948 377,42</w:t>
            </w:r>
            <w:r w:rsidR="00512066" w:rsidRPr="007916F7">
              <w:rPr>
                <w:rFonts w:eastAsia="Arial"/>
                <w:sz w:val="24"/>
                <w:szCs w:val="24"/>
              </w:rPr>
              <w:t>, что составляет 99,</w:t>
            </w:r>
            <w:r w:rsidRPr="007916F7">
              <w:rPr>
                <w:rFonts w:eastAsia="Arial"/>
                <w:sz w:val="24"/>
                <w:szCs w:val="24"/>
              </w:rPr>
              <w:t>4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% от утвержденных бюджетных назначений</w:t>
            </w:r>
            <w:r w:rsidR="00EC05BB" w:rsidRPr="007916F7">
              <w:rPr>
                <w:rFonts w:eastAsia="Arial"/>
                <w:sz w:val="24"/>
                <w:szCs w:val="24"/>
              </w:rPr>
              <w:t>.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</w:t>
            </w:r>
          </w:p>
          <w:p w:rsidR="00512066" w:rsidRPr="007916F7" w:rsidRDefault="00BC24CF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sz w:val="24"/>
                <w:szCs w:val="24"/>
              </w:rPr>
              <w:t xml:space="preserve">     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Сведения об исполнении текстовых статей закона (решения) о бюджете отражены в таблице № 3; </w:t>
            </w:r>
          </w:p>
          <w:p w:rsidR="00512066" w:rsidRPr="007916F7" w:rsidRDefault="00976D8E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     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Сведения об исполнении бюджета отражены в форме 0503164. </w:t>
            </w:r>
          </w:p>
          <w:p w:rsidR="007A60AE" w:rsidRDefault="007A60AE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gramStart"/>
            <w:r w:rsidRPr="007916F7">
              <w:rPr>
                <w:rFonts w:eastAsia="Arial"/>
                <w:sz w:val="24"/>
                <w:szCs w:val="24"/>
              </w:rPr>
              <w:t>В соответствии с  решением  Думы городского  округа Тольятти от 0</w:t>
            </w:r>
            <w:r w:rsidR="00976D8E" w:rsidRPr="007916F7">
              <w:rPr>
                <w:rFonts w:eastAsia="Arial"/>
                <w:sz w:val="24"/>
                <w:szCs w:val="24"/>
              </w:rPr>
              <w:t>7</w:t>
            </w:r>
            <w:r w:rsidRPr="007916F7">
              <w:rPr>
                <w:rFonts w:eastAsia="Arial"/>
                <w:sz w:val="24"/>
                <w:szCs w:val="24"/>
              </w:rPr>
              <w:t>.</w:t>
            </w:r>
            <w:r w:rsidR="00976D8E" w:rsidRPr="007916F7">
              <w:rPr>
                <w:rFonts w:eastAsia="Arial"/>
                <w:sz w:val="24"/>
                <w:szCs w:val="24"/>
              </w:rPr>
              <w:t>06</w:t>
            </w:r>
            <w:r w:rsidRPr="007916F7">
              <w:rPr>
                <w:rFonts w:eastAsia="Arial"/>
                <w:sz w:val="24"/>
                <w:szCs w:val="24"/>
              </w:rPr>
              <w:t xml:space="preserve">.2023  № </w:t>
            </w:r>
            <w:r w:rsidR="00976D8E" w:rsidRPr="007916F7">
              <w:rPr>
                <w:rFonts w:eastAsia="Arial"/>
                <w:sz w:val="24"/>
                <w:szCs w:val="24"/>
              </w:rPr>
              <w:t>1572</w:t>
            </w:r>
            <w:r w:rsidRPr="007916F7">
              <w:rPr>
                <w:rFonts w:eastAsia="Arial"/>
                <w:sz w:val="24"/>
                <w:szCs w:val="24"/>
              </w:rPr>
              <w:t xml:space="preserve"> «О внесении изменений в решение Думы городского округа Тольятти от 23.11.2022 № 1418 «О бюджете городского округа Тольятти  на  2023 год и  на плановый период  2024  и  2025  годов»</w:t>
            </w:r>
            <w:r w:rsidR="00976D8E" w:rsidRPr="007916F7">
              <w:rPr>
                <w:rFonts w:eastAsia="Arial"/>
                <w:sz w:val="24"/>
                <w:szCs w:val="24"/>
              </w:rPr>
              <w:t xml:space="preserve"> по главному администратору доходов – Дума городского округа Тольятти утвержден план на 2023 год по КБК 90011302994040000130 «Прочие доходы от компенсации</w:t>
            </w:r>
            <w:r w:rsidR="00A475F2" w:rsidRPr="007916F7">
              <w:rPr>
                <w:rFonts w:eastAsia="Arial"/>
                <w:sz w:val="24"/>
                <w:szCs w:val="24"/>
              </w:rPr>
              <w:t xml:space="preserve"> затрат</w:t>
            </w:r>
            <w:proofErr w:type="gramEnd"/>
            <w:r w:rsidR="00A475F2" w:rsidRPr="007916F7">
              <w:rPr>
                <w:rFonts w:eastAsia="Arial"/>
                <w:sz w:val="24"/>
                <w:szCs w:val="24"/>
              </w:rPr>
              <w:t xml:space="preserve"> бюджетов городских округов» в сумме 11 000,00 руб.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Исполнение бюджета на 01.01.202</w:t>
            </w:r>
            <w:r w:rsidR="00A475F2" w:rsidRPr="007916F7">
              <w:rPr>
                <w:rFonts w:eastAsia="Arial"/>
                <w:sz w:val="24"/>
                <w:szCs w:val="24"/>
              </w:rPr>
              <w:t>4</w:t>
            </w:r>
            <w:r w:rsidRPr="007916F7">
              <w:rPr>
                <w:rFonts w:eastAsia="Arial"/>
                <w:sz w:val="24"/>
                <w:szCs w:val="24"/>
              </w:rPr>
              <w:t>г. составляет 99,</w:t>
            </w:r>
            <w:r w:rsidR="00BC24CF" w:rsidRPr="007916F7">
              <w:rPr>
                <w:rFonts w:eastAsia="Arial"/>
                <w:sz w:val="24"/>
                <w:szCs w:val="24"/>
              </w:rPr>
              <w:t>43</w:t>
            </w:r>
            <w:r w:rsidRPr="007916F7">
              <w:rPr>
                <w:rFonts w:eastAsia="Arial"/>
                <w:sz w:val="24"/>
                <w:szCs w:val="24"/>
              </w:rPr>
              <w:t xml:space="preserve"> % от утвержденных годовых назначений с учетом изменений на отчетную дату.</w:t>
            </w:r>
          </w:p>
          <w:p w:rsidR="00BC24CF" w:rsidRPr="007916F7" w:rsidRDefault="00BC24CF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По 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средства освоены в сумме 97</w:t>
            </w:r>
            <w:r w:rsidR="00CA5EEF" w:rsidRPr="007916F7">
              <w:rPr>
                <w:rFonts w:eastAsia="Arial"/>
                <w:sz w:val="24"/>
                <w:szCs w:val="24"/>
              </w:rPr>
              <w:t> </w:t>
            </w:r>
            <w:r w:rsidRPr="007916F7">
              <w:rPr>
                <w:rFonts w:eastAsia="Arial"/>
                <w:sz w:val="24"/>
                <w:szCs w:val="24"/>
              </w:rPr>
              <w:t>054</w:t>
            </w:r>
            <w:r w:rsidR="00B9262A" w:rsidRPr="007916F7">
              <w:rPr>
                <w:rFonts w:eastAsia="Arial"/>
                <w:sz w:val="24"/>
                <w:szCs w:val="24"/>
              </w:rPr>
              <w:t> 498,74</w:t>
            </w:r>
            <w:r w:rsidRPr="007916F7">
              <w:rPr>
                <w:rFonts w:eastAsia="Arial"/>
                <w:sz w:val="24"/>
                <w:szCs w:val="24"/>
              </w:rPr>
              <w:t xml:space="preserve"> руб., исполнение составляет 99,7 % от утвержденного плана.   </w:t>
            </w:r>
          </w:p>
          <w:p w:rsidR="00BC24CF" w:rsidRPr="007916F7" w:rsidRDefault="00BC24CF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По разделу 0113 «Другие общегосударственные расходы» средства освоены в сумме   32</w:t>
            </w:r>
            <w:r w:rsidR="00B9262A" w:rsidRPr="007916F7">
              <w:rPr>
                <w:rFonts w:eastAsia="Arial"/>
                <w:sz w:val="24"/>
                <w:szCs w:val="24"/>
              </w:rPr>
              <w:t> </w:t>
            </w:r>
            <w:r w:rsidRPr="007916F7">
              <w:rPr>
                <w:rFonts w:eastAsia="Arial"/>
                <w:sz w:val="24"/>
                <w:szCs w:val="24"/>
              </w:rPr>
              <w:t>89</w:t>
            </w:r>
            <w:r w:rsidR="00B9262A" w:rsidRPr="007916F7">
              <w:rPr>
                <w:rFonts w:eastAsia="Arial"/>
                <w:sz w:val="24"/>
                <w:szCs w:val="24"/>
              </w:rPr>
              <w:t>3 878,68</w:t>
            </w:r>
            <w:r w:rsidRPr="007916F7">
              <w:rPr>
                <w:rFonts w:eastAsia="Arial"/>
                <w:sz w:val="24"/>
                <w:szCs w:val="24"/>
              </w:rPr>
              <w:t xml:space="preserve"> руб., что составляет 98,8 % от утвержденного плана.</w:t>
            </w:r>
          </w:p>
          <w:p w:rsidR="00A94601" w:rsidRDefault="00A94601" w:rsidP="0099685B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</w:p>
          <w:p w:rsidR="00ED2B98" w:rsidRDefault="00ED2B98" w:rsidP="0099685B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</w:p>
          <w:p w:rsidR="00ED2B98" w:rsidRPr="007916F7" w:rsidRDefault="00ED2B98" w:rsidP="0099685B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7916F7">
              <w:rPr>
                <w:rFonts w:eastAsia="Arial"/>
                <w:b/>
                <w:sz w:val="24"/>
                <w:szCs w:val="24"/>
              </w:rPr>
              <w:lastRenderedPageBreak/>
              <w:t>Раздел 4 «Анализ показателей бухгалтерской отчетности субъекта бюджетной отчетности»</w:t>
            </w:r>
          </w:p>
          <w:p w:rsidR="00512066" w:rsidRPr="007916F7" w:rsidRDefault="00512066" w:rsidP="0099685B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Сведения о движении нефинансовых активов отражены в форме 0503168 «Сведения о движении нефинансовых активов».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Стоимость основных средств  на  01.01.202</w:t>
            </w:r>
            <w:r w:rsidR="00201F41" w:rsidRPr="007916F7">
              <w:rPr>
                <w:rFonts w:eastAsia="Arial"/>
                <w:sz w:val="24"/>
                <w:szCs w:val="24"/>
              </w:rPr>
              <w:t>4</w:t>
            </w:r>
            <w:r w:rsidRPr="007916F7">
              <w:rPr>
                <w:rFonts w:eastAsia="Arial"/>
                <w:sz w:val="24"/>
                <w:szCs w:val="24"/>
              </w:rPr>
              <w:t>г. составила 6</w:t>
            </w:r>
            <w:r w:rsidR="00612AE7" w:rsidRPr="007916F7">
              <w:rPr>
                <w:rFonts w:eastAsia="Arial"/>
                <w:sz w:val="24"/>
                <w:szCs w:val="24"/>
              </w:rPr>
              <w:t>1</w:t>
            </w:r>
            <w:r w:rsidR="009D0D90" w:rsidRPr="007916F7">
              <w:rPr>
                <w:rFonts w:eastAsia="Arial"/>
                <w:sz w:val="24"/>
                <w:szCs w:val="24"/>
              </w:rPr>
              <w:t> </w:t>
            </w:r>
            <w:r w:rsidR="00612AE7" w:rsidRPr="007916F7">
              <w:rPr>
                <w:rFonts w:eastAsia="Arial"/>
                <w:sz w:val="24"/>
                <w:szCs w:val="24"/>
              </w:rPr>
              <w:t>828</w:t>
            </w:r>
            <w:r w:rsidR="009D0D90" w:rsidRPr="007916F7">
              <w:rPr>
                <w:rFonts w:eastAsia="Arial"/>
                <w:sz w:val="24"/>
                <w:szCs w:val="24"/>
              </w:rPr>
              <w:t> </w:t>
            </w:r>
            <w:r w:rsidR="00612AE7" w:rsidRPr="007916F7">
              <w:rPr>
                <w:rFonts w:eastAsia="Arial"/>
                <w:sz w:val="24"/>
                <w:szCs w:val="24"/>
              </w:rPr>
              <w:t>470,20</w:t>
            </w:r>
            <w:r w:rsidRPr="007916F7">
              <w:rPr>
                <w:rFonts w:eastAsia="Arial"/>
                <w:sz w:val="24"/>
                <w:szCs w:val="24"/>
              </w:rPr>
              <w:t xml:space="preserve"> руб.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В 202</w:t>
            </w:r>
            <w:r w:rsidR="00612AE7" w:rsidRPr="007916F7">
              <w:rPr>
                <w:rFonts w:eastAsia="Arial"/>
                <w:sz w:val="24"/>
                <w:szCs w:val="24"/>
              </w:rPr>
              <w:t>3</w:t>
            </w:r>
            <w:r w:rsidRPr="007916F7">
              <w:rPr>
                <w:rFonts w:eastAsia="Arial"/>
                <w:sz w:val="24"/>
                <w:szCs w:val="24"/>
              </w:rPr>
              <w:t xml:space="preserve"> году поступление основных средств составило в сумме </w:t>
            </w:r>
            <w:r w:rsidR="00B760BA" w:rsidRPr="007916F7">
              <w:rPr>
                <w:rFonts w:eastAsia="Arial"/>
                <w:sz w:val="24"/>
                <w:szCs w:val="24"/>
              </w:rPr>
              <w:t>1</w:t>
            </w:r>
            <w:r w:rsidR="00612AE7" w:rsidRPr="007916F7">
              <w:rPr>
                <w:rFonts w:eastAsia="Arial"/>
                <w:sz w:val="24"/>
                <w:szCs w:val="24"/>
              </w:rPr>
              <w:t> 954 853,46</w:t>
            </w:r>
            <w:r w:rsidRPr="007916F7">
              <w:rPr>
                <w:rFonts w:eastAsia="Arial"/>
                <w:sz w:val="24"/>
                <w:szCs w:val="24"/>
              </w:rPr>
              <w:t xml:space="preserve"> руб.: </w:t>
            </w:r>
          </w:p>
          <w:p w:rsidR="00512066" w:rsidRPr="007916F7" w:rsidRDefault="00512066" w:rsidP="0099685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«Машины и оборудование» - </w:t>
            </w:r>
            <w:r w:rsidR="009D0D90" w:rsidRPr="007916F7">
              <w:rPr>
                <w:rFonts w:eastAsia="Arial"/>
                <w:sz w:val="24"/>
                <w:szCs w:val="24"/>
              </w:rPr>
              <w:t>1 1</w:t>
            </w:r>
            <w:r w:rsidR="00612AE7" w:rsidRPr="007916F7">
              <w:rPr>
                <w:rFonts w:eastAsia="Arial"/>
                <w:sz w:val="24"/>
                <w:szCs w:val="24"/>
              </w:rPr>
              <w:t>4</w:t>
            </w:r>
            <w:r w:rsidR="009D0D90" w:rsidRPr="007916F7">
              <w:rPr>
                <w:rFonts w:eastAsia="Arial"/>
                <w:sz w:val="24"/>
                <w:szCs w:val="24"/>
              </w:rPr>
              <w:t>3 02</w:t>
            </w:r>
            <w:r w:rsidR="00612AE7" w:rsidRPr="007916F7">
              <w:rPr>
                <w:rFonts w:eastAsia="Arial"/>
                <w:sz w:val="24"/>
                <w:szCs w:val="24"/>
              </w:rPr>
              <w:t>7</w:t>
            </w:r>
            <w:r w:rsidR="009D0D90" w:rsidRPr="007916F7">
              <w:rPr>
                <w:rFonts w:eastAsia="Arial"/>
                <w:sz w:val="24"/>
                <w:szCs w:val="24"/>
              </w:rPr>
              <w:t>,6</w:t>
            </w:r>
            <w:r w:rsidR="00612AE7" w:rsidRPr="007916F7">
              <w:rPr>
                <w:rFonts w:eastAsia="Arial"/>
                <w:sz w:val="24"/>
                <w:szCs w:val="24"/>
              </w:rPr>
              <w:t>3</w:t>
            </w:r>
            <w:r w:rsidRPr="007916F7">
              <w:rPr>
                <w:rFonts w:eastAsia="Arial"/>
                <w:sz w:val="24"/>
                <w:szCs w:val="24"/>
              </w:rPr>
              <w:t xml:space="preserve"> руб.;</w:t>
            </w:r>
          </w:p>
          <w:p w:rsidR="00512066" w:rsidRPr="007916F7" w:rsidRDefault="00B760BA" w:rsidP="0099685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 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«Инвентарь производственный и хозяйственный» - </w:t>
            </w:r>
            <w:r w:rsidR="00612AE7" w:rsidRPr="007916F7">
              <w:rPr>
                <w:rFonts w:eastAsia="Arial"/>
                <w:sz w:val="24"/>
                <w:szCs w:val="24"/>
              </w:rPr>
              <w:t>732 780,13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руб.</w:t>
            </w:r>
            <w:r w:rsidRPr="007916F7">
              <w:rPr>
                <w:rFonts w:eastAsia="Arial"/>
                <w:sz w:val="24"/>
                <w:szCs w:val="24"/>
              </w:rPr>
              <w:t>;</w:t>
            </w:r>
          </w:p>
          <w:p w:rsidR="00B760BA" w:rsidRPr="007916F7" w:rsidRDefault="00B760BA" w:rsidP="0099685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«Прочие основные средства» - </w:t>
            </w:r>
            <w:r w:rsidR="00612AE7" w:rsidRPr="007916F7">
              <w:rPr>
                <w:rFonts w:eastAsia="Arial"/>
                <w:sz w:val="24"/>
                <w:szCs w:val="24"/>
              </w:rPr>
              <w:t>79 045,70</w:t>
            </w:r>
            <w:r w:rsidRPr="007916F7">
              <w:rPr>
                <w:rFonts w:eastAsia="Arial"/>
                <w:sz w:val="24"/>
                <w:szCs w:val="24"/>
              </w:rPr>
              <w:t xml:space="preserve"> руб.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Выбытие основных средств составило </w:t>
            </w:r>
            <w:r w:rsidR="00612AE7" w:rsidRPr="007916F7">
              <w:rPr>
                <w:rFonts w:eastAsia="Arial"/>
                <w:sz w:val="24"/>
                <w:szCs w:val="24"/>
              </w:rPr>
              <w:t xml:space="preserve">467 559,90 </w:t>
            </w:r>
            <w:r w:rsidRPr="007916F7">
              <w:rPr>
                <w:rFonts w:eastAsia="Arial"/>
                <w:sz w:val="24"/>
                <w:szCs w:val="24"/>
              </w:rPr>
              <w:t>руб.:</w:t>
            </w:r>
          </w:p>
          <w:p w:rsidR="00512066" w:rsidRPr="002059B1" w:rsidRDefault="00512066" w:rsidP="002059B1">
            <w:pPr>
              <w:pStyle w:val="a8"/>
              <w:numPr>
                <w:ilvl w:val="0"/>
                <w:numId w:val="8"/>
              </w:numPr>
              <w:spacing w:line="276" w:lineRule="auto"/>
              <w:ind w:left="851" w:hanging="425"/>
              <w:jc w:val="both"/>
              <w:rPr>
                <w:rFonts w:eastAsia="Arial"/>
              </w:rPr>
            </w:pPr>
            <w:r w:rsidRPr="002059B1">
              <w:rPr>
                <w:rFonts w:eastAsia="Arial"/>
              </w:rPr>
              <w:t>«Ма</w:t>
            </w:r>
            <w:r w:rsidR="005032DB" w:rsidRPr="002059B1">
              <w:rPr>
                <w:rFonts w:eastAsia="Arial"/>
              </w:rPr>
              <w:t>ш</w:t>
            </w:r>
            <w:r w:rsidR="00612AE7" w:rsidRPr="002059B1">
              <w:rPr>
                <w:rFonts w:eastAsia="Arial"/>
              </w:rPr>
              <w:t>ины и оборудование» - 390 065,01</w:t>
            </w:r>
            <w:r w:rsidRPr="002059B1">
              <w:rPr>
                <w:rFonts w:eastAsia="Arial"/>
              </w:rPr>
              <w:t xml:space="preserve"> руб.;</w:t>
            </w:r>
          </w:p>
          <w:p w:rsidR="00693F42" w:rsidRPr="007916F7" w:rsidRDefault="00693F42" w:rsidP="002059B1">
            <w:pPr>
              <w:numPr>
                <w:ilvl w:val="0"/>
                <w:numId w:val="8"/>
              </w:numPr>
              <w:spacing w:line="276" w:lineRule="auto"/>
              <w:ind w:left="710" w:hanging="284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«Инвентарь производственный и хозяйственный» - </w:t>
            </w:r>
            <w:r w:rsidR="00612AE7" w:rsidRPr="007916F7">
              <w:rPr>
                <w:rFonts w:eastAsia="Arial"/>
                <w:sz w:val="24"/>
                <w:szCs w:val="24"/>
              </w:rPr>
              <w:t>77 494,89</w:t>
            </w:r>
            <w:r w:rsidR="008C6283" w:rsidRPr="007916F7">
              <w:rPr>
                <w:rFonts w:eastAsia="Arial"/>
                <w:sz w:val="24"/>
                <w:szCs w:val="24"/>
              </w:rPr>
              <w:t xml:space="preserve"> руб.</w:t>
            </w:r>
          </w:p>
          <w:p w:rsidR="008C6283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В справке по консолидированным расчетам (форма 0503125) отражен</w:t>
            </w:r>
            <w:r w:rsidR="00017196" w:rsidRPr="007916F7">
              <w:rPr>
                <w:rFonts w:eastAsia="Arial"/>
                <w:sz w:val="24"/>
                <w:szCs w:val="24"/>
              </w:rPr>
              <w:t>а</w:t>
            </w:r>
            <w:r w:rsidRPr="007916F7">
              <w:rPr>
                <w:rFonts w:eastAsia="Arial"/>
                <w:sz w:val="24"/>
                <w:szCs w:val="24"/>
              </w:rPr>
              <w:t xml:space="preserve"> </w:t>
            </w:r>
            <w:r w:rsidR="00017196" w:rsidRPr="007916F7">
              <w:rPr>
                <w:rFonts w:eastAsia="Arial"/>
                <w:sz w:val="24"/>
                <w:szCs w:val="24"/>
              </w:rPr>
              <w:t>передача</w:t>
            </w:r>
            <w:r w:rsidRPr="007916F7">
              <w:rPr>
                <w:rFonts w:eastAsia="Arial"/>
                <w:sz w:val="24"/>
                <w:szCs w:val="24"/>
              </w:rPr>
              <w:t xml:space="preserve"> основных средств</w:t>
            </w:r>
            <w:r w:rsidR="008C6283" w:rsidRPr="007916F7">
              <w:rPr>
                <w:rFonts w:eastAsia="Arial"/>
                <w:sz w:val="24"/>
                <w:szCs w:val="24"/>
              </w:rPr>
              <w:t xml:space="preserve"> управлению взаимодействия с общественностью администрации городского округа Тольятти.</w:t>
            </w:r>
          </w:p>
          <w:tbl>
            <w:tblPr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1134"/>
              <w:gridCol w:w="1134"/>
              <w:gridCol w:w="1134"/>
              <w:gridCol w:w="1276"/>
              <w:gridCol w:w="1417"/>
              <w:gridCol w:w="1843"/>
            </w:tblGrid>
            <w:tr w:rsidR="006D1DA8" w:rsidRPr="006D1DA8" w:rsidTr="0099685B">
              <w:trPr>
                <w:trHeight w:val="795"/>
              </w:trPr>
              <w:tc>
                <w:tcPr>
                  <w:tcW w:w="96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ind w:left="-108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D1DA8">
                    <w:rPr>
                      <w:bCs/>
                      <w:color w:val="000000"/>
                      <w:sz w:val="24"/>
                      <w:szCs w:val="24"/>
                    </w:rPr>
                    <w:t>Расшифровка к форме 0503110 по коду счета 140120241, 140120281, 140120251, 140120254 в части передачи нефинансовых активов государственным (муниципальным) автономным и бюджетным учреждениям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D1DA8" w:rsidRPr="006D1DA8" w:rsidTr="0099685B">
              <w:trPr>
                <w:trHeight w:val="300"/>
              </w:trPr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D1DA8" w:rsidRPr="006D1DA8" w:rsidTr="0099685B">
              <w:trPr>
                <w:trHeight w:val="759"/>
              </w:trPr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D1DA8">
                    <w:rPr>
                      <w:color w:val="000000"/>
                    </w:rPr>
                    <w:t xml:space="preserve">Наименование контрагента (передающая сторона)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D1DA8">
                    <w:rPr>
                      <w:color w:val="000000"/>
                    </w:rPr>
                    <w:t xml:space="preserve">Вид Расходов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D1DA8">
                    <w:rPr>
                      <w:color w:val="000000"/>
                    </w:rPr>
                    <w:t xml:space="preserve">Код счета бюджетного учета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D1DA8">
                    <w:rPr>
                      <w:color w:val="000000"/>
                    </w:rPr>
                    <w:t>Сумма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D1DA8">
                    <w:rPr>
                      <w:color w:val="000000"/>
                    </w:rPr>
                    <w:t>Объект передачи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D1DA8">
                    <w:rPr>
                      <w:color w:val="000000"/>
                    </w:rPr>
                    <w:t xml:space="preserve">Наименование контрагента (передающая сторона) </w:t>
                  </w:r>
                </w:p>
              </w:tc>
            </w:tr>
            <w:tr w:rsidR="006D1DA8" w:rsidRPr="006D1DA8" w:rsidTr="0099685B">
              <w:trPr>
                <w:trHeight w:val="315"/>
              </w:trPr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D1DA8">
                    <w:rPr>
                      <w:color w:val="000000"/>
                    </w:rPr>
                    <w:t>по дебету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D1DA8">
                    <w:rPr>
                      <w:color w:val="000000"/>
                    </w:rPr>
                    <w:t>по кредиту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6D1DA8" w:rsidRPr="006D1DA8" w:rsidTr="0099685B">
              <w:trPr>
                <w:trHeight w:val="1260"/>
              </w:trPr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FF46E7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Дума городского округа Тольятти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D1DA8">
                    <w:rPr>
                      <w:color w:val="000000"/>
                    </w:rPr>
                    <w:t>804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6D1DA8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D1DA8">
                    <w:rPr>
                      <w:color w:val="000000"/>
                    </w:rPr>
                    <w:t>401 20 281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FF46E7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15 195,61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FF46E7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99685B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195</w:t>
                  </w:r>
                  <w:r w:rsidR="0099685B">
                    <w:rPr>
                      <w:color w:val="000000"/>
                    </w:rPr>
                    <w:t>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99685B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кондиционер</w:t>
                  </w:r>
                  <w:r w:rsidR="006D1DA8" w:rsidRPr="006D1DA8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1DA8" w:rsidRPr="006D1DA8" w:rsidRDefault="0099685B" w:rsidP="0099685B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99685B">
                    <w:rPr>
                      <w:color w:val="000000"/>
                    </w:rPr>
                    <w:t>управлени</w:t>
                  </w:r>
                  <w:r>
                    <w:rPr>
                      <w:color w:val="000000"/>
                    </w:rPr>
                    <w:t>е</w:t>
                  </w:r>
                  <w:r w:rsidRPr="0099685B">
                    <w:rPr>
                      <w:color w:val="000000"/>
                    </w:rPr>
                    <w:t xml:space="preserve"> взаимодействия с общественностью администрации городского округа Тольятти</w:t>
                  </w:r>
                </w:p>
              </w:tc>
            </w:tr>
          </w:tbl>
          <w:p w:rsidR="006D1DA8" w:rsidRPr="007916F7" w:rsidRDefault="006D1DA8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</w:p>
          <w:p w:rsidR="00512066" w:rsidRPr="007916F7" w:rsidRDefault="008C6283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 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В справке о наличии имущества и обязательств на </w:t>
            </w:r>
            <w:proofErr w:type="spellStart"/>
            <w:r w:rsidR="00512066" w:rsidRPr="007916F7">
              <w:rPr>
                <w:rFonts w:eastAsia="Arial"/>
                <w:sz w:val="24"/>
                <w:szCs w:val="24"/>
              </w:rPr>
              <w:t>забалансовых</w:t>
            </w:r>
            <w:proofErr w:type="spellEnd"/>
            <w:r w:rsidR="00512066" w:rsidRPr="007916F7">
              <w:rPr>
                <w:rFonts w:eastAsia="Arial"/>
                <w:sz w:val="24"/>
                <w:szCs w:val="24"/>
              </w:rPr>
              <w:t xml:space="preserve"> счетах отражено имущество, полученное в пользование на сумму </w:t>
            </w:r>
            <w:r w:rsidR="003700E0" w:rsidRPr="007916F7">
              <w:rPr>
                <w:rFonts w:eastAsia="Arial"/>
                <w:sz w:val="24"/>
                <w:szCs w:val="24"/>
              </w:rPr>
              <w:t>7</w:t>
            </w:r>
            <w:r w:rsidRPr="007916F7">
              <w:rPr>
                <w:rFonts w:eastAsia="Arial"/>
                <w:sz w:val="24"/>
                <w:szCs w:val="24"/>
              </w:rPr>
              <w:t>1</w:t>
            </w:r>
            <w:r w:rsidR="00233199" w:rsidRPr="007916F7">
              <w:rPr>
                <w:rFonts w:eastAsia="Arial"/>
                <w:sz w:val="24"/>
                <w:szCs w:val="24"/>
              </w:rPr>
              <w:t> </w:t>
            </w:r>
            <w:r w:rsidR="003700E0" w:rsidRPr="007916F7">
              <w:rPr>
                <w:rFonts w:eastAsia="Arial"/>
                <w:sz w:val="24"/>
                <w:szCs w:val="24"/>
              </w:rPr>
              <w:t>3</w:t>
            </w:r>
            <w:r w:rsidR="00233199" w:rsidRPr="007916F7">
              <w:rPr>
                <w:rFonts w:eastAsia="Arial"/>
                <w:sz w:val="24"/>
                <w:szCs w:val="24"/>
              </w:rPr>
              <w:t>69 360,74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руб.: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- недвижимое имущество: нежилые помещения, предоставленные в безвозмездное пользование Думе городского округа Тольятти, для использования под осуществление депутатской деятельности и работы с избирателями</w:t>
            </w:r>
            <w:r w:rsidR="003700E0" w:rsidRPr="007916F7">
              <w:rPr>
                <w:rFonts w:eastAsia="Arial"/>
                <w:sz w:val="24"/>
                <w:szCs w:val="24"/>
              </w:rPr>
              <w:t>.</w:t>
            </w:r>
            <w:r w:rsidRPr="007916F7">
              <w:rPr>
                <w:rFonts w:eastAsia="Arial"/>
                <w:sz w:val="24"/>
                <w:szCs w:val="24"/>
              </w:rPr>
              <w:t xml:space="preserve">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Сведения по дебиторской и кредиторской задолженности отражены в форме № 0503169  Дебиторская задолженность на 01.01.202</w:t>
            </w:r>
            <w:r w:rsidR="00683A4E" w:rsidRPr="007916F7">
              <w:rPr>
                <w:rFonts w:eastAsia="Arial"/>
                <w:sz w:val="24"/>
                <w:szCs w:val="24"/>
              </w:rPr>
              <w:t>4</w:t>
            </w:r>
            <w:r w:rsidRPr="007916F7">
              <w:rPr>
                <w:rFonts w:eastAsia="Arial"/>
                <w:sz w:val="24"/>
                <w:szCs w:val="24"/>
              </w:rPr>
              <w:t xml:space="preserve">г. составляет </w:t>
            </w:r>
            <w:r w:rsidR="00186674" w:rsidRPr="007916F7">
              <w:rPr>
                <w:rFonts w:eastAsia="Arial"/>
                <w:sz w:val="24"/>
                <w:szCs w:val="24"/>
              </w:rPr>
              <w:t>4</w:t>
            </w:r>
            <w:r w:rsidR="00683A4E" w:rsidRPr="007916F7">
              <w:rPr>
                <w:rFonts w:eastAsia="Arial"/>
                <w:sz w:val="24"/>
                <w:szCs w:val="24"/>
              </w:rPr>
              <w:t>31</w:t>
            </w:r>
            <w:r w:rsidR="00186674" w:rsidRPr="007916F7">
              <w:rPr>
                <w:rFonts w:eastAsia="Arial"/>
                <w:sz w:val="24"/>
                <w:szCs w:val="24"/>
              </w:rPr>
              <w:t> </w:t>
            </w:r>
            <w:r w:rsidR="00683A4E" w:rsidRPr="007916F7">
              <w:rPr>
                <w:rFonts w:eastAsia="Arial"/>
                <w:sz w:val="24"/>
                <w:szCs w:val="24"/>
              </w:rPr>
              <w:t>816</w:t>
            </w:r>
            <w:r w:rsidR="00186674" w:rsidRPr="007916F7">
              <w:rPr>
                <w:rFonts w:eastAsia="Arial"/>
                <w:sz w:val="24"/>
                <w:szCs w:val="24"/>
              </w:rPr>
              <w:t>,7</w:t>
            </w:r>
            <w:r w:rsidR="00683A4E" w:rsidRPr="007916F7">
              <w:rPr>
                <w:rFonts w:eastAsia="Arial"/>
                <w:sz w:val="24"/>
                <w:szCs w:val="24"/>
              </w:rPr>
              <w:t>9</w:t>
            </w:r>
            <w:r w:rsidRPr="007916F7">
              <w:rPr>
                <w:rFonts w:eastAsia="Arial"/>
                <w:sz w:val="24"/>
                <w:szCs w:val="24"/>
              </w:rPr>
              <w:t xml:space="preserve"> руб. (просроченная задолженность отсутствует), в том числе: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1206 21 – </w:t>
            </w:r>
            <w:r w:rsidR="00683A4E" w:rsidRPr="007916F7">
              <w:rPr>
                <w:rFonts w:eastAsia="Arial"/>
                <w:sz w:val="24"/>
                <w:szCs w:val="24"/>
              </w:rPr>
              <w:t>9 511,68</w:t>
            </w:r>
            <w:r w:rsidRPr="007916F7">
              <w:rPr>
                <w:rFonts w:eastAsia="Arial"/>
                <w:sz w:val="24"/>
                <w:szCs w:val="24"/>
              </w:rPr>
              <w:t xml:space="preserve"> руб., авансовый платеж за почтовые услуги в 202</w:t>
            </w:r>
            <w:r w:rsidR="00683A4E" w:rsidRPr="007916F7">
              <w:rPr>
                <w:rFonts w:eastAsia="Arial"/>
                <w:sz w:val="24"/>
                <w:szCs w:val="24"/>
              </w:rPr>
              <w:t>3</w:t>
            </w:r>
            <w:r w:rsidRPr="007916F7">
              <w:rPr>
                <w:rFonts w:eastAsia="Arial"/>
                <w:sz w:val="24"/>
                <w:szCs w:val="24"/>
              </w:rPr>
              <w:t xml:space="preserve"> году УФПС России,                                                         по условиям контракта;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1206 23 – 1</w:t>
            </w:r>
            <w:r w:rsidR="00683A4E" w:rsidRPr="007916F7">
              <w:rPr>
                <w:rFonts w:eastAsia="Arial"/>
                <w:sz w:val="24"/>
                <w:szCs w:val="24"/>
              </w:rPr>
              <w:t>37 084,88</w:t>
            </w:r>
            <w:r w:rsidRPr="007916F7">
              <w:rPr>
                <w:rFonts w:eastAsia="Arial"/>
                <w:sz w:val="24"/>
                <w:szCs w:val="24"/>
              </w:rPr>
              <w:t xml:space="preserve"> руб., в том числе: </w:t>
            </w:r>
          </w:p>
          <w:p w:rsidR="00512066" w:rsidRPr="007916F7" w:rsidRDefault="009B1BD3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- </w:t>
            </w:r>
            <w:r w:rsidR="00683A4E" w:rsidRPr="007916F7">
              <w:rPr>
                <w:rFonts w:eastAsia="Arial"/>
                <w:sz w:val="24"/>
                <w:szCs w:val="24"/>
              </w:rPr>
              <w:t>67 920,85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руб. авансовый платеж за </w:t>
            </w:r>
            <w:proofErr w:type="spellStart"/>
            <w:r w:rsidR="00512066" w:rsidRPr="007916F7">
              <w:rPr>
                <w:rFonts w:eastAsia="Arial"/>
                <w:sz w:val="24"/>
                <w:szCs w:val="24"/>
              </w:rPr>
              <w:t>теплоэнергию</w:t>
            </w:r>
            <w:proofErr w:type="spellEnd"/>
            <w:r w:rsidR="00512066" w:rsidRPr="007916F7">
              <w:rPr>
                <w:rFonts w:eastAsia="Arial"/>
                <w:sz w:val="24"/>
                <w:szCs w:val="24"/>
              </w:rPr>
              <w:t xml:space="preserve"> за декабрь 202</w:t>
            </w:r>
            <w:r w:rsidR="00683A4E" w:rsidRPr="007916F7">
              <w:rPr>
                <w:rFonts w:eastAsia="Arial"/>
                <w:sz w:val="24"/>
                <w:szCs w:val="24"/>
              </w:rPr>
              <w:t>3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г. ПАО «Т Плюс» по условиям контракта;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- </w:t>
            </w:r>
            <w:r w:rsidR="009B1BD3" w:rsidRPr="007916F7">
              <w:rPr>
                <w:rFonts w:eastAsia="Arial"/>
                <w:sz w:val="24"/>
                <w:szCs w:val="24"/>
              </w:rPr>
              <w:t>64</w:t>
            </w:r>
            <w:r w:rsidR="00683A4E" w:rsidRPr="007916F7">
              <w:rPr>
                <w:rFonts w:eastAsia="Arial"/>
                <w:sz w:val="24"/>
                <w:szCs w:val="24"/>
              </w:rPr>
              <w:t> 362,50</w:t>
            </w:r>
            <w:r w:rsidRPr="007916F7">
              <w:rPr>
                <w:rFonts w:eastAsia="Arial"/>
                <w:sz w:val="24"/>
                <w:szCs w:val="24"/>
              </w:rPr>
              <w:t xml:space="preserve"> руб. авансовый платеж за электроэнергию за декабрь 202</w:t>
            </w:r>
            <w:r w:rsidR="00683A4E" w:rsidRPr="007916F7">
              <w:rPr>
                <w:rFonts w:eastAsia="Arial"/>
                <w:sz w:val="24"/>
                <w:szCs w:val="24"/>
              </w:rPr>
              <w:t>3</w:t>
            </w:r>
            <w:r w:rsidRPr="007916F7">
              <w:rPr>
                <w:rFonts w:eastAsia="Arial"/>
                <w:sz w:val="24"/>
                <w:szCs w:val="24"/>
              </w:rPr>
              <w:t xml:space="preserve">г. ПАО «Самараэнерго», по условиям контракта;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- </w:t>
            </w:r>
            <w:r w:rsidR="00683A4E" w:rsidRPr="007916F7">
              <w:rPr>
                <w:rFonts w:eastAsia="Arial"/>
                <w:sz w:val="24"/>
                <w:szCs w:val="24"/>
              </w:rPr>
              <w:t>1 </w:t>
            </w:r>
            <w:r w:rsidR="00ED2337" w:rsidRPr="007916F7">
              <w:rPr>
                <w:rFonts w:eastAsia="Arial"/>
                <w:sz w:val="24"/>
                <w:szCs w:val="24"/>
              </w:rPr>
              <w:t>2</w:t>
            </w:r>
            <w:r w:rsidR="00683A4E" w:rsidRPr="007916F7">
              <w:rPr>
                <w:rFonts w:eastAsia="Arial"/>
                <w:sz w:val="24"/>
                <w:szCs w:val="24"/>
              </w:rPr>
              <w:t>80,72</w:t>
            </w:r>
            <w:r w:rsidRPr="007916F7">
              <w:rPr>
                <w:rFonts w:eastAsia="Arial"/>
                <w:sz w:val="24"/>
                <w:szCs w:val="24"/>
              </w:rPr>
              <w:t xml:space="preserve"> руб. авансовый платеж за водоотведение ливневых стоков за декабрь 202</w:t>
            </w:r>
            <w:r w:rsidR="00683A4E" w:rsidRPr="007916F7">
              <w:rPr>
                <w:rFonts w:eastAsia="Arial"/>
                <w:sz w:val="24"/>
                <w:szCs w:val="24"/>
              </w:rPr>
              <w:t>3</w:t>
            </w:r>
            <w:r w:rsidRPr="007916F7">
              <w:rPr>
                <w:rFonts w:eastAsia="Arial"/>
                <w:sz w:val="24"/>
                <w:szCs w:val="24"/>
              </w:rPr>
              <w:t>г. АО «ПО КХ Тольятти»;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- </w:t>
            </w:r>
            <w:r w:rsidR="00683A4E" w:rsidRPr="007916F7">
              <w:rPr>
                <w:rFonts w:eastAsia="Arial"/>
                <w:sz w:val="24"/>
                <w:szCs w:val="24"/>
              </w:rPr>
              <w:t>3 520,81</w:t>
            </w:r>
            <w:r w:rsidRPr="007916F7">
              <w:rPr>
                <w:rFonts w:eastAsia="Arial"/>
                <w:sz w:val="24"/>
                <w:szCs w:val="24"/>
              </w:rPr>
              <w:t xml:space="preserve"> руб. авансовый платеж з</w:t>
            </w:r>
            <w:r w:rsidR="00ED2337" w:rsidRPr="007916F7">
              <w:rPr>
                <w:rFonts w:eastAsia="Arial"/>
                <w:sz w:val="24"/>
                <w:szCs w:val="24"/>
              </w:rPr>
              <w:t>а электроэнергию за декабрь 202</w:t>
            </w:r>
            <w:r w:rsidR="00683A4E" w:rsidRPr="007916F7">
              <w:rPr>
                <w:rFonts w:eastAsia="Arial"/>
                <w:sz w:val="24"/>
                <w:szCs w:val="24"/>
              </w:rPr>
              <w:t>3</w:t>
            </w:r>
            <w:r w:rsidRPr="007916F7">
              <w:rPr>
                <w:rFonts w:eastAsia="Arial"/>
                <w:sz w:val="24"/>
                <w:szCs w:val="24"/>
              </w:rPr>
              <w:t>г. ОАО «ТЭК».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lastRenderedPageBreak/>
              <w:t xml:space="preserve">1206 26 – </w:t>
            </w:r>
            <w:r w:rsidR="00ED2337" w:rsidRPr="007916F7">
              <w:rPr>
                <w:rFonts w:eastAsia="Arial"/>
                <w:sz w:val="24"/>
                <w:szCs w:val="24"/>
              </w:rPr>
              <w:t>10 828,00</w:t>
            </w:r>
            <w:r w:rsidRPr="007916F7">
              <w:rPr>
                <w:rFonts w:eastAsia="Arial"/>
                <w:sz w:val="24"/>
                <w:szCs w:val="24"/>
              </w:rPr>
              <w:t xml:space="preserve"> руб. авансовый платеж </w:t>
            </w:r>
            <w:r w:rsidR="00ED2337" w:rsidRPr="007916F7">
              <w:rPr>
                <w:rFonts w:eastAsia="Arial"/>
                <w:sz w:val="24"/>
                <w:szCs w:val="24"/>
              </w:rPr>
              <w:t>на подписку печатного издания ООО «МЦФЭР-пресс» по условиям контракта.</w:t>
            </w:r>
          </w:p>
          <w:p w:rsidR="00512066" w:rsidRPr="007916F7" w:rsidRDefault="0069364B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1208 21 – </w:t>
            </w:r>
            <w:r w:rsidR="00683A4E" w:rsidRPr="007916F7">
              <w:rPr>
                <w:rFonts w:eastAsia="Arial"/>
                <w:sz w:val="24"/>
                <w:szCs w:val="24"/>
              </w:rPr>
              <w:t>61 375</w:t>
            </w:r>
            <w:r w:rsidRPr="007916F7">
              <w:rPr>
                <w:rFonts w:eastAsia="Arial"/>
                <w:sz w:val="24"/>
                <w:szCs w:val="24"/>
              </w:rPr>
              <w:t>,00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руб. выданы под отчет маркированные конверты, марки.</w:t>
            </w:r>
          </w:p>
          <w:p w:rsidR="00683A4E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1303 05 – </w:t>
            </w:r>
            <w:r w:rsidR="00683A4E" w:rsidRPr="007916F7">
              <w:rPr>
                <w:rFonts w:eastAsia="Arial"/>
                <w:sz w:val="24"/>
                <w:szCs w:val="24"/>
              </w:rPr>
              <w:t>13</w:t>
            </w:r>
            <w:r w:rsidR="0069364B" w:rsidRPr="007916F7">
              <w:rPr>
                <w:rFonts w:eastAsia="Arial"/>
                <w:sz w:val="24"/>
                <w:szCs w:val="24"/>
              </w:rPr>
              <w:t> </w:t>
            </w:r>
            <w:r w:rsidRPr="007916F7">
              <w:rPr>
                <w:rFonts w:eastAsia="Arial"/>
                <w:sz w:val="24"/>
                <w:szCs w:val="24"/>
              </w:rPr>
              <w:t>0</w:t>
            </w:r>
            <w:r w:rsidR="0069364B" w:rsidRPr="007916F7">
              <w:rPr>
                <w:rFonts w:eastAsia="Arial"/>
                <w:sz w:val="24"/>
                <w:szCs w:val="24"/>
              </w:rPr>
              <w:t>76,43</w:t>
            </w:r>
            <w:r w:rsidRPr="007916F7">
              <w:rPr>
                <w:rFonts w:eastAsia="Arial"/>
                <w:sz w:val="24"/>
                <w:szCs w:val="24"/>
              </w:rPr>
              <w:t xml:space="preserve"> руб</w:t>
            </w:r>
            <w:r w:rsidR="00683A4E" w:rsidRPr="007916F7">
              <w:rPr>
                <w:rFonts w:eastAsia="Arial"/>
                <w:sz w:val="24"/>
                <w:szCs w:val="24"/>
              </w:rPr>
              <w:t xml:space="preserve">. авансовый платеж за негативное воздействие на окружающую среду УФК по Самарской области (Управление </w:t>
            </w:r>
            <w:proofErr w:type="spellStart"/>
            <w:r w:rsidR="00683A4E" w:rsidRPr="007916F7">
              <w:rPr>
                <w:rFonts w:eastAsia="Arial"/>
                <w:sz w:val="24"/>
                <w:szCs w:val="24"/>
              </w:rPr>
              <w:t>Росприроднадзора</w:t>
            </w:r>
            <w:proofErr w:type="spellEnd"/>
            <w:r w:rsidR="00683A4E" w:rsidRPr="007916F7">
              <w:rPr>
                <w:rFonts w:eastAsia="Arial"/>
                <w:sz w:val="24"/>
                <w:szCs w:val="24"/>
              </w:rPr>
              <w:t xml:space="preserve"> по Самарской области); </w:t>
            </w:r>
          </w:p>
          <w:p w:rsidR="00512066" w:rsidRPr="007916F7" w:rsidRDefault="00683A4E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130314 –</w:t>
            </w:r>
            <w:r w:rsidR="00AB3CB3" w:rsidRPr="007916F7">
              <w:rPr>
                <w:rFonts w:eastAsia="Arial"/>
                <w:sz w:val="24"/>
                <w:szCs w:val="24"/>
              </w:rPr>
              <w:t xml:space="preserve"> </w:t>
            </w:r>
            <w:r w:rsidRPr="007916F7">
              <w:rPr>
                <w:rFonts w:eastAsia="Arial"/>
                <w:sz w:val="24"/>
                <w:szCs w:val="24"/>
              </w:rPr>
              <w:t>199 940,80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руб. авансовый платеж по транспортному налогу</w:t>
            </w:r>
            <w:r w:rsidRPr="007916F7">
              <w:rPr>
                <w:rFonts w:eastAsia="Arial"/>
                <w:sz w:val="24"/>
                <w:szCs w:val="24"/>
              </w:rPr>
              <w:t xml:space="preserve"> и налогу на имущество организации</w:t>
            </w:r>
            <w:r w:rsidR="00FB7B56" w:rsidRPr="007916F7">
              <w:rPr>
                <w:rFonts w:eastAsia="Arial"/>
                <w:sz w:val="24"/>
                <w:szCs w:val="24"/>
              </w:rPr>
              <w:t>.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="00512066" w:rsidRPr="007916F7">
              <w:rPr>
                <w:rFonts w:eastAsia="Arial"/>
                <w:sz w:val="24"/>
                <w:szCs w:val="24"/>
              </w:rPr>
              <w:t>УФК по Самарской области (Межрайонная инспекция ФНС России 19 по Самарской области</w:t>
            </w:r>
            <w:r w:rsidR="00FB7B56" w:rsidRPr="007916F7">
              <w:rPr>
                <w:rFonts w:eastAsia="Arial"/>
                <w:sz w:val="24"/>
                <w:szCs w:val="24"/>
              </w:rPr>
              <w:t>.</w:t>
            </w:r>
            <w:proofErr w:type="gramEnd"/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Кредиторская задолженность на 01.01.202</w:t>
            </w:r>
            <w:r w:rsidR="00FB7B56" w:rsidRPr="007916F7">
              <w:rPr>
                <w:rFonts w:eastAsia="Arial"/>
                <w:sz w:val="24"/>
                <w:szCs w:val="24"/>
              </w:rPr>
              <w:t>4</w:t>
            </w:r>
            <w:r w:rsidRPr="007916F7">
              <w:rPr>
                <w:rFonts w:eastAsia="Arial"/>
                <w:sz w:val="24"/>
                <w:szCs w:val="24"/>
              </w:rPr>
              <w:t xml:space="preserve">г. – </w:t>
            </w:r>
            <w:r w:rsidR="00FB7B56" w:rsidRPr="007916F7">
              <w:rPr>
                <w:rFonts w:eastAsia="Arial"/>
                <w:sz w:val="24"/>
                <w:szCs w:val="24"/>
              </w:rPr>
              <w:t>2 235,96</w:t>
            </w:r>
            <w:r w:rsidRPr="007916F7">
              <w:rPr>
                <w:rFonts w:eastAsia="Arial"/>
                <w:sz w:val="24"/>
                <w:szCs w:val="24"/>
              </w:rPr>
              <w:t xml:space="preserve">  руб. (просроченная задолженность отсутствует), в том числе: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1 302 2</w:t>
            </w:r>
            <w:r w:rsidR="00FB7B56" w:rsidRPr="007916F7">
              <w:rPr>
                <w:rFonts w:eastAsia="Arial"/>
                <w:sz w:val="24"/>
                <w:szCs w:val="24"/>
              </w:rPr>
              <w:t>1</w:t>
            </w:r>
            <w:r w:rsidRPr="007916F7">
              <w:rPr>
                <w:rFonts w:eastAsia="Arial"/>
                <w:sz w:val="24"/>
                <w:szCs w:val="24"/>
              </w:rPr>
              <w:t xml:space="preserve"> – </w:t>
            </w:r>
            <w:r w:rsidR="00FB7B56" w:rsidRPr="007916F7">
              <w:rPr>
                <w:rFonts w:eastAsia="Arial"/>
                <w:sz w:val="24"/>
                <w:szCs w:val="24"/>
              </w:rPr>
              <w:t>2 235,96</w:t>
            </w:r>
            <w:r w:rsidRPr="007916F7">
              <w:rPr>
                <w:rFonts w:eastAsia="Arial"/>
                <w:sz w:val="24"/>
                <w:szCs w:val="24"/>
              </w:rPr>
              <w:t xml:space="preserve"> руб., задолженность за </w:t>
            </w:r>
            <w:r w:rsidR="00FB7B56" w:rsidRPr="007916F7">
              <w:rPr>
                <w:rFonts w:eastAsia="Arial"/>
                <w:sz w:val="24"/>
                <w:szCs w:val="24"/>
              </w:rPr>
              <w:t>услуги связи</w:t>
            </w:r>
            <w:r w:rsidRPr="007916F7">
              <w:rPr>
                <w:rFonts w:eastAsia="Arial"/>
                <w:sz w:val="24"/>
                <w:szCs w:val="24"/>
              </w:rPr>
              <w:t xml:space="preserve"> за декабрь 202</w:t>
            </w:r>
            <w:r w:rsidR="00FB7B56" w:rsidRPr="007916F7">
              <w:rPr>
                <w:rFonts w:eastAsia="Arial"/>
                <w:sz w:val="24"/>
                <w:szCs w:val="24"/>
              </w:rPr>
              <w:t>3</w:t>
            </w:r>
            <w:r w:rsidRPr="007916F7">
              <w:rPr>
                <w:rFonts w:eastAsia="Arial"/>
                <w:sz w:val="24"/>
                <w:szCs w:val="24"/>
              </w:rPr>
              <w:t>г. ПАО «</w:t>
            </w:r>
            <w:r w:rsidR="00FB7B56" w:rsidRPr="007916F7">
              <w:rPr>
                <w:rFonts w:eastAsia="Arial"/>
                <w:sz w:val="24"/>
                <w:szCs w:val="24"/>
              </w:rPr>
              <w:t>Ростелеком</w:t>
            </w:r>
            <w:r w:rsidRPr="007916F7">
              <w:rPr>
                <w:rFonts w:eastAsia="Arial"/>
                <w:sz w:val="24"/>
                <w:szCs w:val="24"/>
              </w:rPr>
              <w:t>». Оплата будет произведена в январе 202</w:t>
            </w:r>
            <w:r w:rsidR="00FB7B56" w:rsidRPr="007916F7">
              <w:rPr>
                <w:rFonts w:eastAsia="Arial"/>
                <w:sz w:val="24"/>
                <w:szCs w:val="24"/>
              </w:rPr>
              <w:t>4</w:t>
            </w:r>
            <w:r w:rsidRPr="007916F7">
              <w:rPr>
                <w:rFonts w:eastAsia="Arial"/>
                <w:sz w:val="24"/>
                <w:szCs w:val="24"/>
              </w:rPr>
              <w:t>г.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В форме № 0503169 отражены резервы предстоящих расходов на оплату отпусков в сумме </w:t>
            </w:r>
            <w:r w:rsidR="00FB7B56" w:rsidRPr="007916F7">
              <w:rPr>
                <w:rFonts w:eastAsia="Arial"/>
                <w:sz w:val="24"/>
                <w:szCs w:val="24"/>
              </w:rPr>
              <w:t>3 250 819,79</w:t>
            </w:r>
            <w:r w:rsidRPr="007916F7">
              <w:rPr>
                <w:rFonts w:eastAsia="Arial"/>
                <w:sz w:val="24"/>
                <w:szCs w:val="24"/>
              </w:rPr>
              <w:t xml:space="preserve"> руб.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Сведения об остатках денежных средств на счетах получателя бюджетных средств во временном распоряжении отражены в форме 0503178.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Остаток денежных средств по счету 3 201 11 000 составляет </w:t>
            </w:r>
            <w:r w:rsidR="00F41635" w:rsidRPr="007916F7">
              <w:rPr>
                <w:rFonts w:eastAsia="Arial"/>
                <w:sz w:val="24"/>
                <w:szCs w:val="24"/>
              </w:rPr>
              <w:t>707 355,50</w:t>
            </w:r>
            <w:r w:rsidRPr="007916F7">
              <w:rPr>
                <w:rFonts w:eastAsia="Arial"/>
                <w:sz w:val="24"/>
                <w:szCs w:val="24"/>
              </w:rPr>
              <w:t xml:space="preserve"> руб., в том числе: </w:t>
            </w:r>
          </w:p>
          <w:p w:rsidR="00512066" w:rsidRPr="007916F7" w:rsidRDefault="00F41635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173 120,00</w:t>
            </w:r>
            <w:r w:rsidR="00173663" w:rsidRPr="007916F7">
              <w:rPr>
                <w:rFonts w:eastAsia="Arial"/>
                <w:sz w:val="24"/>
                <w:szCs w:val="24"/>
              </w:rPr>
              <w:t xml:space="preserve"> 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руб. – Обеспечение исполнения контракта </w:t>
            </w:r>
            <w:r w:rsidRPr="007916F7">
              <w:rPr>
                <w:rFonts w:eastAsia="Arial"/>
                <w:sz w:val="24"/>
                <w:szCs w:val="24"/>
              </w:rPr>
              <w:t>на поставку легковых автомобилей АО «Лада-Сервис»</w:t>
            </w:r>
            <w:r w:rsidR="00512066" w:rsidRPr="007916F7">
              <w:rPr>
                <w:rFonts w:eastAsia="Arial"/>
                <w:sz w:val="24"/>
                <w:szCs w:val="24"/>
              </w:rPr>
              <w:t>;</w:t>
            </w:r>
          </w:p>
          <w:p w:rsidR="00173663" w:rsidRPr="007916F7" w:rsidRDefault="00F41635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507 301,16</w:t>
            </w:r>
            <w:r w:rsidR="00173663" w:rsidRPr="007916F7">
              <w:rPr>
                <w:rFonts w:eastAsia="Arial"/>
                <w:sz w:val="24"/>
                <w:szCs w:val="24"/>
              </w:rPr>
              <w:t xml:space="preserve"> руб. - Обеспечение исполнения контракта по поставке ГСМ </w:t>
            </w:r>
            <w:r w:rsidRPr="007916F7">
              <w:rPr>
                <w:rFonts w:eastAsia="Arial"/>
                <w:sz w:val="24"/>
                <w:szCs w:val="24"/>
              </w:rPr>
              <w:t>ООО "РН-Карт</w:t>
            </w:r>
            <w:r w:rsidR="00173663" w:rsidRPr="007916F7">
              <w:rPr>
                <w:rFonts w:eastAsia="Arial"/>
                <w:sz w:val="24"/>
                <w:szCs w:val="24"/>
              </w:rPr>
              <w:t>";</w:t>
            </w:r>
          </w:p>
          <w:p w:rsidR="00A94601" w:rsidRPr="007916F7" w:rsidRDefault="00F41635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26 934,34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руб. - Обеспечение исполнения контракта на </w:t>
            </w:r>
            <w:r w:rsidRPr="007916F7">
              <w:rPr>
                <w:rFonts w:eastAsia="Arial"/>
                <w:sz w:val="24"/>
                <w:szCs w:val="24"/>
              </w:rPr>
              <w:t>оказание услуг по осуществлению научного руководства и авторского надзор</w:t>
            </w:r>
            <w:proofErr w:type="gramStart"/>
            <w:r w:rsidRPr="007916F7">
              <w:rPr>
                <w:rFonts w:eastAsia="Arial"/>
                <w:sz w:val="24"/>
                <w:szCs w:val="24"/>
              </w:rPr>
              <w:t>а ООО</w:t>
            </w:r>
            <w:proofErr w:type="gramEnd"/>
            <w:r w:rsidRPr="007916F7">
              <w:rPr>
                <w:rFonts w:eastAsia="Arial"/>
                <w:sz w:val="24"/>
                <w:szCs w:val="24"/>
              </w:rPr>
              <w:t xml:space="preserve"> ПК «Реставрация»»</w:t>
            </w:r>
            <w:r w:rsidR="00512066" w:rsidRPr="007916F7">
              <w:rPr>
                <w:rFonts w:eastAsia="Arial"/>
                <w:sz w:val="24"/>
                <w:szCs w:val="24"/>
              </w:rPr>
              <w:t>.</w:t>
            </w:r>
          </w:p>
          <w:p w:rsidR="005647A0" w:rsidRPr="007916F7" w:rsidRDefault="005647A0" w:rsidP="0099685B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7916F7">
              <w:rPr>
                <w:rFonts w:eastAsia="Arial"/>
                <w:b/>
                <w:sz w:val="24"/>
                <w:szCs w:val="24"/>
              </w:rPr>
              <w:t>Раздел 5 «Прочие вопросы деятельности субъекта бюджетной отчетности»</w:t>
            </w:r>
          </w:p>
          <w:p w:rsidR="005647A0" w:rsidRPr="007916F7" w:rsidRDefault="005647A0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Форма № 0503167 «Сведения о целевых иностранных кредитах» не заполнены, в связи с отсутствием числовых показателей для заполнения данной формы.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Форма № 0503171 «Сведения о финансовых вложениях получателя бюджетных средств, администратора источников финансирования дефицита бюджета»  не заполнена, в связи с отсутствием числовых показателей для заполнения данной формы.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Форма № 0503172 «Сведения о государственном (муниципальном) долге» не заполнена, в связи с отсутствием показателей для заполнения данной формы. </w:t>
            </w:r>
          </w:p>
          <w:p w:rsidR="005612BE" w:rsidRPr="007916F7" w:rsidRDefault="005612BE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Форма № 0503173 «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Сведения об изменении остатков валюты баланса» </w:t>
            </w:r>
            <w:r w:rsidRPr="007916F7">
              <w:rPr>
                <w:rFonts w:eastAsia="Arial"/>
                <w:sz w:val="24"/>
                <w:szCs w:val="24"/>
              </w:rPr>
              <w:t xml:space="preserve">не заполнена, в связи с отсутствием показателей для заполнения данной формы.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Форма № 0603174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 не заполнена, в связи с отсутствием числовых показателей для заполнения данной формы.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Сведения о принятых и неисполненных обязательствах получателя бюджетных средств отражены в форме 0503175. </w:t>
            </w:r>
            <w:proofErr w:type="gramStart"/>
            <w:r w:rsidRPr="007916F7">
              <w:rPr>
                <w:rFonts w:eastAsia="Arial"/>
                <w:sz w:val="24"/>
                <w:szCs w:val="24"/>
              </w:rPr>
              <w:t xml:space="preserve">В соответствии с письмом финансового органа городского округа Тольятти от 01.02.2016 г. № 3722-вн/2.1 формирование показателей </w:t>
            </w:r>
            <w:hyperlink r:id="rId8" w:history="1">
              <w:r w:rsidRPr="007916F7">
                <w:rPr>
                  <w:rStyle w:val="a3"/>
                  <w:rFonts w:eastAsia="Arial"/>
                  <w:color w:val="auto"/>
                  <w:sz w:val="24"/>
                  <w:szCs w:val="24"/>
                </w:rPr>
                <w:t>раздела 1</w:t>
              </w:r>
            </w:hyperlink>
            <w:r w:rsidRPr="007916F7">
              <w:rPr>
                <w:rFonts w:eastAsia="Arial"/>
                <w:sz w:val="24"/>
                <w:szCs w:val="24"/>
              </w:rPr>
              <w:t xml:space="preserve">, </w:t>
            </w:r>
            <w:hyperlink r:id="rId9" w:history="1">
              <w:r w:rsidRPr="007916F7">
                <w:rPr>
                  <w:rStyle w:val="a3"/>
                  <w:rFonts w:eastAsia="Arial"/>
                  <w:color w:val="auto"/>
                  <w:sz w:val="24"/>
                  <w:szCs w:val="24"/>
                </w:rPr>
                <w:t>2</w:t>
              </w:r>
            </w:hyperlink>
            <w:r w:rsidRPr="007916F7">
              <w:rPr>
                <w:rFonts w:eastAsia="Arial"/>
                <w:sz w:val="24"/>
                <w:szCs w:val="24"/>
              </w:rPr>
              <w:t xml:space="preserve"> Сведений о принятых и неисполненных обязательствах получателя бюджетных средств (далее - Сведения ф. 0503175) осуществляется в части показателей </w:t>
            </w:r>
            <w:hyperlink r:id="rId10" w:history="1">
              <w:r w:rsidRPr="007916F7">
                <w:rPr>
                  <w:rStyle w:val="a3"/>
                  <w:rFonts w:eastAsia="Arial"/>
                  <w:color w:val="auto"/>
                  <w:sz w:val="24"/>
                  <w:szCs w:val="24"/>
                </w:rPr>
                <w:t>граф 11</w:t>
              </w:r>
            </w:hyperlink>
            <w:r w:rsidRPr="007916F7">
              <w:rPr>
                <w:rFonts w:eastAsia="Arial"/>
                <w:sz w:val="24"/>
                <w:szCs w:val="24"/>
              </w:rPr>
              <w:t xml:space="preserve">, </w:t>
            </w:r>
            <w:hyperlink r:id="rId11" w:history="1">
              <w:r w:rsidRPr="007916F7">
                <w:rPr>
                  <w:rStyle w:val="a3"/>
                  <w:rFonts w:eastAsia="Arial"/>
                  <w:color w:val="auto"/>
                  <w:sz w:val="24"/>
                  <w:szCs w:val="24"/>
                </w:rPr>
                <w:t>12</w:t>
              </w:r>
            </w:hyperlink>
            <w:r w:rsidRPr="007916F7">
              <w:rPr>
                <w:rFonts w:eastAsia="Arial"/>
                <w:sz w:val="24"/>
                <w:szCs w:val="24"/>
              </w:rPr>
              <w:t xml:space="preserve"> раздела 1 "Бюджетные обязательства текущего (отчетного) финансового года по расходам" Отчета ф. 0503128 по обязательствам (денежным обязательствам), сумма неисполнения которых превышает</w:t>
            </w:r>
            <w:proofErr w:type="gramEnd"/>
            <w:r w:rsidRPr="007916F7">
              <w:rPr>
                <w:rFonts w:eastAsia="Arial"/>
                <w:sz w:val="24"/>
                <w:szCs w:val="24"/>
              </w:rPr>
              <w:t xml:space="preserve"> 100</w:t>
            </w:r>
            <w:r w:rsidRPr="007916F7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7916F7">
              <w:rPr>
                <w:rFonts w:eastAsia="Arial"/>
                <w:sz w:val="24"/>
                <w:szCs w:val="24"/>
              </w:rPr>
              <w:t xml:space="preserve">000 руб. Обязательства (денежные обязательства), сумма неисполнения которых не превышает 100 000 руб., отражаются в общей сумме по соответствующим номерам счетов бюджетного учета без детализации по дате (месяц, год) обязательств, </w:t>
            </w:r>
            <w:r w:rsidRPr="007916F7">
              <w:rPr>
                <w:rFonts w:eastAsia="Arial"/>
                <w:sz w:val="24"/>
                <w:szCs w:val="24"/>
              </w:rPr>
              <w:lastRenderedPageBreak/>
              <w:t>контрагентам и причинам неисполнения (</w:t>
            </w:r>
            <w:hyperlink r:id="rId12" w:history="1">
              <w:r w:rsidRPr="007916F7">
                <w:rPr>
                  <w:rStyle w:val="a3"/>
                  <w:rFonts w:eastAsia="Arial"/>
                  <w:color w:val="auto"/>
                  <w:sz w:val="24"/>
                  <w:szCs w:val="24"/>
                </w:rPr>
                <w:t>графы 3</w:t>
              </w:r>
            </w:hyperlink>
            <w:r w:rsidRPr="007916F7">
              <w:rPr>
                <w:rFonts w:eastAsia="Arial"/>
                <w:sz w:val="24"/>
                <w:szCs w:val="24"/>
              </w:rPr>
              <w:t xml:space="preserve"> - </w:t>
            </w:r>
            <w:hyperlink r:id="rId13" w:history="1">
              <w:r w:rsidRPr="007916F7">
                <w:rPr>
                  <w:rStyle w:val="a3"/>
                  <w:rFonts w:eastAsia="Arial"/>
                  <w:color w:val="auto"/>
                  <w:sz w:val="24"/>
                  <w:szCs w:val="24"/>
                </w:rPr>
                <w:t>8</w:t>
              </w:r>
            </w:hyperlink>
            <w:r w:rsidRPr="007916F7">
              <w:rPr>
                <w:rFonts w:eastAsia="Arial"/>
                <w:sz w:val="24"/>
                <w:szCs w:val="24"/>
              </w:rPr>
              <w:t xml:space="preserve"> не заполняются).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Форма № 0303178 «Сведения об остатках денежных средств на счетах получателя бюджетных средств. Бюджетная деятельность» не заполнена, в связи с отсутствием числовых показателей для заполнения данной формы.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Форма № 0503184 «Справка о суммах консолидируемых поступлений, подлежащих зачислению на счет бюджета» не заполнена, в связи с отсутствием числовых показателей для заполнения данной формы;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Форма № 0503190 «Сведения о вложениях в объекты недвижимого имущества, объектах незавершенного строительства» не заполнена в связи с отсутствием вложений в объекты недвижимого имущества, незавершенного строительства. </w:t>
            </w:r>
          </w:p>
          <w:p w:rsidR="00512066" w:rsidRPr="007916F7" w:rsidRDefault="00572BCC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Сведения по судебным решениям отражены в ф</w:t>
            </w:r>
            <w:r w:rsidR="00512066" w:rsidRPr="007916F7">
              <w:rPr>
                <w:rFonts w:eastAsia="Arial"/>
                <w:sz w:val="24"/>
                <w:szCs w:val="24"/>
              </w:rPr>
              <w:t>орм</w:t>
            </w:r>
            <w:r w:rsidRPr="007916F7">
              <w:rPr>
                <w:rFonts w:eastAsia="Arial"/>
                <w:sz w:val="24"/>
                <w:szCs w:val="24"/>
              </w:rPr>
              <w:t>е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 № 0503296 "Об исполнении судебных решений по денежным обязательствам</w:t>
            </w:r>
            <w:r w:rsidRPr="007916F7">
              <w:rPr>
                <w:rFonts w:eastAsia="Arial"/>
                <w:sz w:val="24"/>
                <w:szCs w:val="24"/>
              </w:rPr>
              <w:t>»</w:t>
            </w:r>
            <w:r w:rsidR="00512066" w:rsidRPr="007916F7">
              <w:rPr>
                <w:rFonts w:eastAsia="Arial"/>
                <w:sz w:val="24"/>
                <w:szCs w:val="24"/>
              </w:rPr>
              <w:t>;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Форма № 0603324_</w:t>
            </w:r>
            <w:r w:rsidRPr="007916F7">
              <w:rPr>
                <w:rFonts w:eastAsia="Arial"/>
                <w:sz w:val="24"/>
                <w:szCs w:val="24"/>
                <w:lang w:val="en-US"/>
              </w:rPr>
              <w:t>OBL</w:t>
            </w:r>
            <w:r w:rsidRPr="007916F7">
              <w:rPr>
                <w:rFonts w:eastAsia="Arial"/>
                <w:sz w:val="24"/>
                <w:szCs w:val="24"/>
              </w:rPr>
              <w:t xml:space="preserve"> «Отчет об использовании межбюджетных трансфертов из бюджета субъекта МО» не заполнена, в связи с отсутствием показателей для заполнения данной формы;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Форма № 0503324 «Отчет об использовании межбюджетных трансфертов из федерального бюджета субъектами РФ, МО  и ТГВФ» не заполнена, в связи с отсутствием показателей для заполнения данной формы;</w:t>
            </w:r>
          </w:p>
          <w:p w:rsidR="000F32B5" w:rsidRPr="007916F7" w:rsidRDefault="000F32B5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iCs/>
                <w:sz w:val="24"/>
                <w:szCs w:val="24"/>
              </w:rPr>
              <w:t xml:space="preserve">Форма 0503127-НП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      </w:r>
            <w:r w:rsidRPr="007916F7">
              <w:rPr>
                <w:rFonts w:eastAsia="Arial"/>
                <w:sz w:val="24"/>
                <w:szCs w:val="24"/>
              </w:rPr>
              <w:t>не заполнена, в связи с отсутствием показателей для заполнения данной формы;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Форма № 0503128-НП «Отчет о бюджетных обязательствах (по национальным проектам)» не заполнена, в связи с отсутствием показателей для заполнения данной формы;</w:t>
            </w:r>
          </w:p>
          <w:p w:rsidR="006623AE" w:rsidRPr="007916F7" w:rsidRDefault="006623AE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Таблица 13 «Анализ отчета об исполнении бюджета субъектом бюджетной отчетности» не заполнена, в связи с отсутствием показателей.</w:t>
            </w:r>
          </w:p>
          <w:p w:rsidR="006623AE" w:rsidRPr="007916F7" w:rsidRDefault="006623AE" w:rsidP="0099685B">
            <w:pPr>
              <w:spacing w:line="276" w:lineRule="auto"/>
              <w:rPr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Таблица 14 «</w:t>
            </w:r>
            <w:r w:rsidRPr="007916F7">
              <w:rPr>
                <w:sz w:val="24"/>
                <w:szCs w:val="24"/>
              </w:rPr>
              <w:t>Анализ показателей отчетности субъекта бюджетной отчетности» не заполнена, в связи с отсутствием показателей.</w:t>
            </w:r>
          </w:p>
          <w:p w:rsidR="00512066" w:rsidRPr="007916F7" w:rsidRDefault="006623AE" w:rsidP="0099685B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Т</w:t>
            </w:r>
            <w:r w:rsidR="00512066" w:rsidRPr="007916F7">
              <w:rPr>
                <w:rFonts w:eastAsia="Arial"/>
                <w:sz w:val="24"/>
                <w:szCs w:val="24"/>
              </w:rPr>
              <w:t xml:space="preserve">аблица № </w:t>
            </w:r>
            <w:r w:rsidRPr="007916F7">
              <w:rPr>
                <w:rFonts w:eastAsia="Arial"/>
                <w:sz w:val="24"/>
                <w:szCs w:val="24"/>
              </w:rPr>
              <w:t>15 «</w:t>
            </w:r>
            <w:r w:rsidRPr="007916F7">
              <w:rPr>
                <w:sz w:val="24"/>
                <w:szCs w:val="24"/>
              </w:rPr>
              <w:t xml:space="preserve">Причины увеличения просроченной задолженности» </w:t>
            </w:r>
            <w:r w:rsidR="00512066" w:rsidRPr="007916F7">
              <w:rPr>
                <w:rFonts w:eastAsia="Arial"/>
                <w:sz w:val="24"/>
                <w:szCs w:val="24"/>
              </w:rPr>
              <w:t>не заполнена, в связи с отсутствием показателей.</w:t>
            </w:r>
          </w:p>
          <w:p w:rsidR="00512066" w:rsidRDefault="005F100D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Таблица № 6 «Сведения о проведении инвентаризации» не заполнена в связи с отсутствием показателей. </w:t>
            </w:r>
            <w:r w:rsidR="00512066" w:rsidRPr="007916F7">
              <w:rPr>
                <w:rFonts w:eastAsia="Arial"/>
                <w:sz w:val="24"/>
                <w:szCs w:val="24"/>
              </w:rPr>
              <w:t>Проведена инвентаризация основных средств и материальных запас</w:t>
            </w:r>
            <w:r w:rsidR="002311A3" w:rsidRPr="007916F7">
              <w:rPr>
                <w:rFonts w:eastAsia="Arial"/>
                <w:sz w:val="24"/>
                <w:szCs w:val="24"/>
              </w:rPr>
              <w:t>ов, согласно распоряжени</w:t>
            </w:r>
            <w:r w:rsidR="001976AD" w:rsidRPr="007916F7">
              <w:rPr>
                <w:rFonts w:eastAsia="Arial"/>
                <w:sz w:val="24"/>
                <w:szCs w:val="24"/>
              </w:rPr>
              <w:t>ю</w:t>
            </w:r>
            <w:r w:rsidR="002311A3" w:rsidRPr="007916F7">
              <w:rPr>
                <w:rFonts w:eastAsia="Arial"/>
                <w:sz w:val="24"/>
                <w:szCs w:val="24"/>
              </w:rPr>
              <w:t xml:space="preserve"> № 01-14</w:t>
            </w:r>
            <w:r w:rsidR="00512066" w:rsidRPr="007916F7">
              <w:rPr>
                <w:rFonts w:eastAsia="Arial"/>
                <w:sz w:val="24"/>
                <w:szCs w:val="24"/>
              </w:rPr>
              <w:t>/</w:t>
            </w:r>
            <w:r w:rsidR="002311A3" w:rsidRPr="007916F7">
              <w:rPr>
                <w:rFonts w:eastAsia="Arial"/>
                <w:sz w:val="24"/>
                <w:szCs w:val="24"/>
              </w:rPr>
              <w:t>44 от 30</w:t>
            </w:r>
            <w:r w:rsidR="00512066" w:rsidRPr="007916F7">
              <w:rPr>
                <w:rFonts w:eastAsia="Arial"/>
                <w:sz w:val="24"/>
                <w:szCs w:val="24"/>
              </w:rPr>
              <w:t>.</w:t>
            </w:r>
            <w:r w:rsidR="00CD5CCB" w:rsidRPr="007916F7">
              <w:rPr>
                <w:rFonts w:eastAsia="Arial"/>
                <w:sz w:val="24"/>
                <w:szCs w:val="24"/>
              </w:rPr>
              <w:t>1</w:t>
            </w:r>
            <w:r w:rsidR="002311A3" w:rsidRPr="007916F7">
              <w:rPr>
                <w:rFonts w:eastAsia="Arial"/>
                <w:sz w:val="24"/>
                <w:szCs w:val="24"/>
              </w:rPr>
              <w:t>1</w:t>
            </w:r>
            <w:r w:rsidR="00512066" w:rsidRPr="007916F7">
              <w:rPr>
                <w:rFonts w:eastAsia="Arial"/>
                <w:sz w:val="24"/>
                <w:szCs w:val="24"/>
              </w:rPr>
              <w:t>.202</w:t>
            </w:r>
            <w:r w:rsidR="002311A3" w:rsidRPr="007916F7">
              <w:rPr>
                <w:rFonts w:eastAsia="Arial"/>
                <w:sz w:val="24"/>
                <w:szCs w:val="24"/>
              </w:rPr>
              <w:t>3</w:t>
            </w:r>
            <w:r w:rsidR="00512066" w:rsidRPr="007916F7">
              <w:rPr>
                <w:rFonts w:eastAsia="Arial"/>
                <w:sz w:val="24"/>
                <w:szCs w:val="24"/>
              </w:rPr>
              <w:t>г</w:t>
            </w:r>
            <w:r w:rsidR="00CD5CCB" w:rsidRPr="007916F7">
              <w:rPr>
                <w:rFonts w:eastAsia="Arial"/>
                <w:sz w:val="24"/>
                <w:szCs w:val="24"/>
              </w:rPr>
              <w:t xml:space="preserve">. </w:t>
            </w:r>
            <w:r w:rsidR="00512066" w:rsidRPr="007916F7">
              <w:rPr>
                <w:rFonts w:eastAsia="Arial"/>
                <w:sz w:val="24"/>
                <w:szCs w:val="24"/>
              </w:rPr>
              <w:t>По итогам инвентаризации расхождений не выявлено.</w:t>
            </w:r>
          </w:p>
          <w:p w:rsidR="00274DD6" w:rsidRPr="00274DD6" w:rsidRDefault="00274DD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Форма </w:t>
            </w:r>
            <w:r w:rsidRPr="005B3A75">
              <w:rPr>
                <w:rFonts w:eastAsia="Arial"/>
                <w:sz w:val="24"/>
                <w:szCs w:val="24"/>
              </w:rPr>
              <w:t>ф.0503110_</w:t>
            </w:r>
            <w:proofErr w:type="gramStart"/>
            <w:r w:rsidRPr="005B3A75">
              <w:rPr>
                <w:rFonts w:eastAsia="Arial"/>
                <w:sz w:val="24"/>
                <w:szCs w:val="24"/>
              </w:rPr>
              <w:t>Р</w:t>
            </w:r>
            <w:proofErr w:type="gramEnd"/>
            <w:r>
              <w:rPr>
                <w:rFonts w:eastAsia="Arial"/>
                <w:sz w:val="24"/>
                <w:szCs w:val="24"/>
              </w:rPr>
              <w:t xml:space="preserve"> «</w:t>
            </w:r>
            <w:r w:rsidR="005B3A75">
              <w:rPr>
                <w:rFonts w:eastAsia="Arial"/>
                <w:sz w:val="24"/>
                <w:szCs w:val="24"/>
              </w:rPr>
              <w:t>Расшифровка показателей, отраженных в С</w:t>
            </w:r>
            <w:r w:rsidR="005B3A75" w:rsidRPr="005B3A75">
              <w:rPr>
                <w:rFonts w:eastAsia="Arial"/>
                <w:sz w:val="24"/>
                <w:szCs w:val="24"/>
              </w:rPr>
              <w:t>правке</w:t>
            </w:r>
            <w:r w:rsidR="005B3A75">
              <w:rPr>
                <w:rFonts w:eastAsia="Arial"/>
                <w:sz w:val="24"/>
                <w:szCs w:val="24"/>
              </w:rPr>
              <w:t xml:space="preserve"> по заключению счетов </w:t>
            </w:r>
            <w:r>
              <w:rPr>
                <w:rFonts w:eastAsia="Arial"/>
                <w:sz w:val="24"/>
                <w:szCs w:val="24"/>
              </w:rPr>
              <w:t>бюджетного учета отчетного финансового года</w:t>
            </w:r>
            <w:r w:rsidR="005B3A75" w:rsidRPr="005B3A75">
              <w:rPr>
                <w:rFonts w:eastAsia="Arial"/>
                <w:sz w:val="24"/>
                <w:szCs w:val="24"/>
              </w:rPr>
              <w:t xml:space="preserve"> (ф. 0503110)</w:t>
            </w:r>
            <w:r>
              <w:rPr>
                <w:rFonts w:eastAsia="Arial"/>
                <w:sz w:val="24"/>
                <w:szCs w:val="24"/>
              </w:rPr>
              <w:t>» не</w:t>
            </w:r>
            <w:r w:rsidRPr="00274DD6">
              <w:rPr>
                <w:rFonts w:eastAsia="Arial"/>
                <w:sz w:val="24"/>
                <w:szCs w:val="24"/>
              </w:rPr>
              <w:t xml:space="preserve"> заполнена, в связи с отсутствием показателей.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Показатели формы 0503121 «Отчет о финансовых результатах деятельности»: </w:t>
            </w:r>
          </w:p>
          <w:p w:rsidR="00793497" w:rsidRPr="007916F7" w:rsidRDefault="00793497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- КОСГУ 17</w:t>
            </w:r>
            <w:r w:rsidR="009C7DA5" w:rsidRPr="007916F7">
              <w:rPr>
                <w:rFonts w:eastAsia="Arial"/>
                <w:sz w:val="24"/>
                <w:szCs w:val="24"/>
              </w:rPr>
              <w:t>2</w:t>
            </w:r>
            <w:r w:rsidRPr="007916F7">
              <w:rPr>
                <w:rFonts w:eastAsia="Arial"/>
                <w:sz w:val="24"/>
                <w:szCs w:val="24"/>
              </w:rPr>
              <w:t xml:space="preserve"> «</w:t>
            </w:r>
            <w:r w:rsidR="009C7DA5" w:rsidRPr="007916F7">
              <w:rPr>
                <w:rFonts w:eastAsia="Arial"/>
                <w:sz w:val="24"/>
                <w:szCs w:val="24"/>
              </w:rPr>
              <w:t>Доходы от выбытия активов</w:t>
            </w:r>
            <w:r w:rsidRPr="007916F7">
              <w:rPr>
                <w:rFonts w:eastAsia="Arial"/>
                <w:sz w:val="24"/>
                <w:szCs w:val="24"/>
              </w:rPr>
              <w:t xml:space="preserve">» отражена сумма </w:t>
            </w:r>
            <w:r w:rsidR="009C7DA5" w:rsidRPr="007916F7">
              <w:rPr>
                <w:rFonts w:eastAsia="Arial"/>
                <w:sz w:val="24"/>
                <w:szCs w:val="24"/>
              </w:rPr>
              <w:t xml:space="preserve">восстановленной стоимости </w:t>
            </w:r>
            <w:r w:rsidR="00A43CBC" w:rsidRPr="007916F7">
              <w:rPr>
                <w:rFonts w:eastAsia="Arial"/>
                <w:sz w:val="24"/>
                <w:szCs w:val="24"/>
              </w:rPr>
              <w:t>материальных запасов</w:t>
            </w:r>
            <w:r w:rsidR="009C7DA5" w:rsidRPr="007916F7">
              <w:rPr>
                <w:rFonts w:eastAsia="Arial"/>
                <w:sz w:val="24"/>
                <w:szCs w:val="24"/>
              </w:rPr>
              <w:t xml:space="preserve"> числящихся на </w:t>
            </w:r>
            <w:proofErr w:type="spellStart"/>
            <w:r w:rsidR="009C7DA5" w:rsidRPr="007916F7">
              <w:rPr>
                <w:rFonts w:eastAsia="Arial"/>
                <w:sz w:val="24"/>
                <w:szCs w:val="24"/>
              </w:rPr>
              <w:t>забалансовом</w:t>
            </w:r>
            <w:proofErr w:type="spellEnd"/>
            <w:r w:rsidR="009C7DA5" w:rsidRPr="007916F7">
              <w:rPr>
                <w:rFonts w:eastAsia="Arial"/>
                <w:sz w:val="24"/>
                <w:szCs w:val="24"/>
              </w:rPr>
              <w:t xml:space="preserve"> счете</w:t>
            </w:r>
            <w:r w:rsidR="00C12FD5" w:rsidRPr="007916F7">
              <w:rPr>
                <w:rFonts w:eastAsia="Arial"/>
                <w:sz w:val="24"/>
                <w:szCs w:val="24"/>
              </w:rPr>
              <w:t>;</w:t>
            </w:r>
          </w:p>
          <w:p w:rsidR="00C12FD5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- КОСГУ 182 «Доходы от безвозмездного права пользования активом, предоставленным организациями» отражена сумма условного дохода от предоставления безвозмездного права пользования автомобилем, полученным от ПАО «АВТОВАЗ</w:t>
            </w:r>
            <w:r w:rsidR="00F26153" w:rsidRPr="007916F7">
              <w:rPr>
                <w:rFonts w:eastAsia="Arial"/>
                <w:sz w:val="24"/>
                <w:szCs w:val="24"/>
              </w:rPr>
              <w:t>».</w:t>
            </w:r>
          </w:p>
          <w:p w:rsidR="00167A70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Расхождение стоимости материальных запасов по ф.0503121 (код строки 361, 362) и форме 0503168 связано со сборкой системных блоков из собственных материалов.</w:t>
            </w:r>
          </w:p>
          <w:p w:rsidR="00F455F3" w:rsidRPr="007916F7" w:rsidRDefault="00F455F3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В форме 0503296 </w:t>
            </w:r>
            <w:r w:rsidRPr="00F455F3">
              <w:rPr>
                <w:rFonts w:eastAsia="Arial"/>
                <w:sz w:val="24"/>
                <w:szCs w:val="24"/>
              </w:rPr>
              <w:t>«</w:t>
            </w:r>
            <w:r w:rsidRPr="00F455F3">
              <w:rPr>
                <w:sz w:val="24"/>
                <w:szCs w:val="24"/>
              </w:rPr>
              <w:t>Сведения об исполнении судебных решений по денежным обязательствам бюджета</w:t>
            </w:r>
            <w:r>
              <w:rPr>
                <w:sz w:val="24"/>
                <w:szCs w:val="24"/>
              </w:rPr>
              <w:t xml:space="preserve">» отражены расходы по уплате государственной пошлины по исполнительному листу ФС № 039913026 от 24.12.2022г в размере 2000,00 руб. Взыскатель </w:t>
            </w:r>
            <w:r>
              <w:rPr>
                <w:sz w:val="24"/>
                <w:szCs w:val="24"/>
              </w:rPr>
              <w:lastRenderedPageBreak/>
              <w:t>по исполнительному производству АО «ТЕВИС».</w:t>
            </w:r>
          </w:p>
          <w:p w:rsidR="00A94601" w:rsidRPr="007916F7" w:rsidRDefault="00167A70" w:rsidP="0099685B">
            <w:pPr>
              <w:spacing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916F7">
              <w:rPr>
                <w:sz w:val="24"/>
                <w:szCs w:val="24"/>
              </w:rPr>
              <w:t>В целях реализации полномочий по осуществлению внутреннего финансового аудита в соответствии со статьей 160.2-1 Бюджетного кодекса Российской Федерации,</w:t>
            </w:r>
            <w:r w:rsidR="00EC6CC5" w:rsidRPr="007916F7">
              <w:rPr>
                <w:sz w:val="24"/>
                <w:szCs w:val="24"/>
              </w:rPr>
              <w:t xml:space="preserve"> пунктами 3,9 Федерального стандарта «Основания и порядок организации, случаи и порядок передачи полномочий по </w:t>
            </w:r>
            <w:r w:rsidRPr="007916F7">
              <w:rPr>
                <w:sz w:val="24"/>
                <w:szCs w:val="24"/>
              </w:rPr>
              <w:t>осуществлени</w:t>
            </w:r>
            <w:r w:rsidR="00EC6CC5" w:rsidRPr="007916F7">
              <w:rPr>
                <w:sz w:val="24"/>
                <w:szCs w:val="24"/>
              </w:rPr>
              <w:t>ю</w:t>
            </w:r>
            <w:r w:rsidRPr="007916F7">
              <w:rPr>
                <w:sz w:val="24"/>
                <w:szCs w:val="24"/>
              </w:rPr>
              <w:t xml:space="preserve"> внутреннего финансового аудита</w:t>
            </w:r>
            <w:r w:rsidR="00EC6CC5" w:rsidRPr="007916F7">
              <w:rPr>
                <w:sz w:val="24"/>
                <w:szCs w:val="24"/>
              </w:rPr>
              <w:t>», утвержденного приказом Министерства финансов Российской Федерации от 18.12.2019 № 237н, руководствуясь Уставом городского округа Тольятти принято решение об упрощенном осуществлении внутреннего финансового аудита председателем</w:t>
            </w:r>
            <w:proofErr w:type="gramEnd"/>
            <w:r w:rsidR="00EC6CC5" w:rsidRPr="007916F7">
              <w:rPr>
                <w:sz w:val="24"/>
                <w:szCs w:val="24"/>
              </w:rPr>
              <w:t xml:space="preserve"> Думы городского округа Тольятти в отношении бю</w:t>
            </w:r>
            <w:r w:rsidR="006623AE" w:rsidRPr="007916F7">
              <w:rPr>
                <w:sz w:val="24"/>
                <w:szCs w:val="24"/>
              </w:rPr>
              <w:t>джетных процедур, выполняемых в Думе городского округа Тольятти.</w:t>
            </w:r>
          </w:p>
          <w:p w:rsidR="00167A70" w:rsidRPr="007916F7" w:rsidRDefault="00167A70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Руководитель                   ___________________                 </w:t>
            </w:r>
            <w:proofErr w:type="spellStart"/>
            <w:r w:rsidR="00157382" w:rsidRPr="007916F7">
              <w:rPr>
                <w:rFonts w:eastAsia="Arial"/>
                <w:sz w:val="24"/>
                <w:szCs w:val="24"/>
              </w:rPr>
              <w:t>Е.В.Шарафан</w:t>
            </w:r>
            <w:proofErr w:type="spellEnd"/>
          </w:p>
          <w:p w:rsidR="004C5495" w:rsidRPr="007916F7" w:rsidRDefault="004C5495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Главный бухгалтер         ___________________                 </w:t>
            </w:r>
            <w:proofErr w:type="spellStart"/>
            <w:r w:rsidR="00A43CBC" w:rsidRPr="007916F7">
              <w:rPr>
                <w:rFonts w:eastAsia="Arial"/>
                <w:sz w:val="24"/>
                <w:szCs w:val="24"/>
              </w:rPr>
              <w:t>Л.Д.Каменских</w:t>
            </w:r>
            <w:proofErr w:type="spellEnd"/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Руководитель планово-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 xml:space="preserve">экономической службы  ___________________                </w:t>
            </w:r>
          </w:p>
          <w:p w:rsidR="00512066" w:rsidRPr="007916F7" w:rsidRDefault="00512066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</w:p>
          <w:p w:rsidR="00512066" w:rsidRPr="006623AE" w:rsidRDefault="00084963" w:rsidP="0099685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916F7">
              <w:rPr>
                <w:rFonts w:eastAsia="Arial"/>
                <w:sz w:val="24"/>
                <w:szCs w:val="24"/>
              </w:rPr>
              <w:t>«</w:t>
            </w:r>
            <w:r w:rsidR="00ED2B98">
              <w:rPr>
                <w:rFonts w:eastAsia="Arial"/>
                <w:sz w:val="24"/>
                <w:szCs w:val="24"/>
                <w:u w:val="single"/>
              </w:rPr>
              <w:t xml:space="preserve">  22 </w:t>
            </w:r>
            <w:r w:rsidRPr="007916F7">
              <w:rPr>
                <w:rFonts w:eastAsia="Arial"/>
                <w:sz w:val="24"/>
                <w:szCs w:val="24"/>
              </w:rPr>
              <w:t xml:space="preserve">» </w:t>
            </w:r>
            <w:r w:rsidR="00ED2B98">
              <w:rPr>
                <w:rFonts w:eastAsia="Arial"/>
                <w:sz w:val="24"/>
                <w:szCs w:val="24"/>
                <w:u w:val="single"/>
              </w:rPr>
              <w:t xml:space="preserve">  января  </w:t>
            </w:r>
            <w:r w:rsidRPr="007916F7">
              <w:rPr>
                <w:rFonts w:eastAsia="Arial"/>
                <w:sz w:val="24"/>
                <w:szCs w:val="24"/>
              </w:rPr>
              <w:t xml:space="preserve">  20</w:t>
            </w:r>
            <w:r w:rsidR="00ED2B98">
              <w:rPr>
                <w:rFonts w:eastAsia="Arial"/>
                <w:sz w:val="24"/>
                <w:szCs w:val="24"/>
              </w:rPr>
              <w:t>24</w:t>
            </w:r>
            <w:r w:rsidRPr="007916F7">
              <w:rPr>
                <w:rFonts w:eastAsia="Arial"/>
                <w:sz w:val="24"/>
                <w:szCs w:val="24"/>
              </w:rPr>
              <w:t xml:space="preserve"> г.</w:t>
            </w:r>
          </w:p>
          <w:p w:rsidR="00512066" w:rsidRPr="006623AE" w:rsidRDefault="00512066" w:rsidP="00512066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D25CBC" w:rsidRPr="00546C10" w:rsidRDefault="00D25CBC" w:rsidP="006E0201">
      <w:pPr>
        <w:spacing w:line="360" w:lineRule="auto"/>
        <w:rPr>
          <w:vanish/>
          <w:sz w:val="24"/>
          <w:szCs w:val="24"/>
        </w:rPr>
      </w:pPr>
      <w:bookmarkStart w:id="3" w:name="__bookmark_3"/>
      <w:bookmarkEnd w:id="3"/>
    </w:p>
    <w:sectPr w:rsidR="00D25CBC" w:rsidRPr="00546C10" w:rsidSect="003D30AF">
      <w:headerReference w:type="default" r:id="rId14"/>
      <w:footerReference w:type="default" r:id="rId15"/>
      <w:pgSz w:w="11055" w:h="16837"/>
      <w:pgMar w:top="851" w:right="283" w:bottom="567" w:left="1133" w:header="566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98" w:rsidRPr="00CF192A" w:rsidRDefault="00ED2B98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separator/>
      </w:r>
    </w:p>
  </w:endnote>
  <w:endnote w:type="continuationSeparator" w:id="0">
    <w:p w:rsidR="00ED2B98" w:rsidRPr="00CF192A" w:rsidRDefault="00ED2B98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ED2B98" w:rsidRPr="00CF192A">
      <w:trPr>
        <w:trHeight w:val="56"/>
      </w:trPr>
      <w:tc>
        <w:tcPr>
          <w:tcW w:w="9854" w:type="dxa"/>
        </w:tcPr>
        <w:p w:rsidR="00ED2B98" w:rsidRPr="00CF192A" w:rsidRDefault="00ED2B98">
          <w:pPr>
            <w:spacing w:line="1" w:lineRule="auto"/>
            <w:rPr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98" w:rsidRPr="00CF192A" w:rsidRDefault="00ED2B98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separator/>
      </w:r>
    </w:p>
  </w:footnote>
  <w:footnote w:type="continuationSeparator" w:id="0">
    <w:p w:rsidR="00ED2B98" w:rsidRPr="00CF192A" w:rsidRDefault="00ED2B98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ED2B98" w:rsidRPr="00CF192A">
      <w:trPr>
        <w:trHeight w:val="56"/>
      </w:trPr>
      <w:tc>
        <w:tcPr>
          <w:tcW w:w="9854" w:type="dxa"/>
        </w:tcPr>
        <w:p w:rsidR="00ED2B98" w:rsidRPr="00CF192A" w:rsidRDefault="00ED2B98">
          <w:pPr>
            <w:spacing w:line="1" w:lineRule="auto"/>
            <w:rPr>
              <w:sz w:val="18"/>
              <w:szCs w:val="1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6CC"/>
    <w:multiLevelType w:val="hybridMultilevel"/>
    <w:tmpl w:val="133C3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2179"/>
    <w:multiLevelType w:val="hybridMultilevel"/>
    <w:tmpl w:val="B3BE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4544"/>
    <w:multiLevelType w:val="hybridMultilevel"/>
    <w:tmpl w:val="BF4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A02EF"/>
    <w:multiLevelType w:val="hybridMultilevel"/>
    <w:tmpl w:val="BD8C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7962"/>
    <w:multiLevelType w:val="hybridMultilevel"/>
    <w:tmpl w:val="61F8E9AC"/>
    <w:lvl w:ilvl="0" w:tplc="068C77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B1E67"/>
    <w:multiLevelType w:val="hybridMultilevel"/>
    <w:tmpl w:val="B19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5764D"/>
    <w:multiLevelType w:val="hybridMultilevel"/>
    <w:tmpl w:val="5374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81BE5"/>
    <w:multiLevelType w:val="multilevel"/>
    <w:tmpl w:val="BFC69B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566948"/>
    <w:multiLevelType w:val="hybridMultilevel"/>
    <w:tmpl w:val="896C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A3D09"/>
    <w:multiLevelType w:val="hybridMultilevel"/>
    <w:tmpl w:val="BFC69BCE"/>
    <w:lvl w:ilvl="0" w:tplc="C7E07132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84A58"/>
    <w:multiLevelType w:val="hybridMultilevel"/>
    <w:tmpl w:val="99A8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BC"/>
    <w:rsid w:val="00000372"/>
    <w:rsid w:val="000003E7"/>
    <w:rsid w:val="00013A6E"/>
    <w:rsid w:val="00017196"/>
    <w:rsid w:val="00020B6A"/>
    <w:rsid w:val="00022E67"/>
    <w:rsid w:val="00025CDB"/>
    <w:rsid w:val="00027E18"/>
    <w:rsid w:val="00032995"/>
    <w:rsid w:val="00041C45"/>
    <w:rsid w:val="00044833"/>
    <w:rsid w:val="00046E70"/>
    <w:rsid w:val="00051658"/>
    <w:rsid w:val="0005302D"/>
    <w:rsid w:val="000557A7"/>
    <w:rsid w:val="00062441"/>
    <w:rsid w:val="00064B69"/>
    <w:rsid w:val="00071DED"/>
    <w:rsid w:val="00075279"/>
    <w:rsid w:val="00083B06"/>
    <w:rsid w:val="00083FB9"/>
    <w:rsid w:val="00084963"/>
    <w:rsid w:val="00086CE9"/>
    <w:rsid w:val="000A0F5D"/>
    <w:rsid w:val="000A3A9B"/>
    <w:rsid w:val="000A5F08"/>
    <w:rsid w:val="000B0C48"/>
    <w:rsid w:val="000B257F"/>
    <w:rsid w:val="000C5DED"/>
    <w:rsid w:val="000C6CB9"/>
    <w:rsid w:val="000D3423"/>
    <w:rsid w:val="000D642A"/>
    <w:rsid w:val="000F32B5"/>
    <w:rsid w:val="00107B79"/>
    <w:rsid w:val="0011226A"/>
    <w:rsid w:val="00112644"/>
    <w:rsid w:val="001169E4"/>
    <w:rsid w:val="001178F7"/>
    <w:rsid w:val="00125149"/>
    <w:rsid w:val="00130C56"/>
    <w:rsid w:val="0013360B"/>
    <w:rsid w:val="00134C87"/>
    <w:rsid w:val="001356CC"/>
    <w:rsid w:val="00141A4F"/>
    <w:rsid w:val="00143604"/>
    <w:rsid w:val="00150EA7"/>
    <w:rsid w:val="00152C71"/>
    <w:rsid w:val="00156796"/>
    <w:rsid w:val="00157382"/>
    <w:rsid w:val="0016113A"/>
    <w:rsid w:val="00164121"/>
    <w:rsid w:val="00166DB6"/>
    <w:rsid w:val="00167A70"/>
    <w:rsid w:val="001701C4"/>
    <w:rsid w:val="001705A0"/>
    <w:rsid w:val="00173663"/>
    <w:rsid w:val="00175486"/>
    <w:rsid w:val="00175FD3"/>
    <w:rsid w:val="00177CA7"/>
    <w:rsid w:val="00184B6D"/>
    <w:rsid w:val="00186674"/>
    <w:rsid w:val="00187984"/>
    <w:rsid w:val="00187B51"/>
    <w:rsid w:val="00191CE8"/>
    <w:rsid w:val="00192E40"/>
    <w:rsid w:val="00194A1B"/>
    <w:rsid w:val="001976AD"/>
    <w:rsid w:val="001D4597"/>
    <w:rsid w:val="001E29E9"/>
    <w:rsid w:val="001F31C8"/>
    <w:rsid w:val="001F45E5"/>
    <w:rsid w:val="00200CFA"/>
    <w:rsid w:val="0020157E"/>
    <w:rsid w:val="00201F41"/>
    <w:rsid w:val="002059B1"/>
    <w:rsid w:val="00207032"/>
    <w:rsid w:val="00213005"/>
    <w:rsid w:val="0021723D"/>
    <w:rsid w:val="002311A3"/>
    <w:rsid w:val="00232E7E"/>
    <w:rsid w:val="00233199"/>
    <w:rsid w:val="0023415B"/>
    <w:rsid w:val="002368B8"/>
    <w:rsid w:val="0024341D"/>
    <w:rsid w:val="00245711"/>
    <w:rsid w:val="002532F4"/>
    <w:rsid w:val="0025363D"/>
    <w:rsid w:val="00253F4E"/>
    <w:rsid w:val="00257370"/>
    <w:rsid w:val="002746AA"/>
    <w:rsid w:val="00274DD6"/>
    <w:rsid w:val="002831BF"/>
    <w:rsid w:val="00287B95"/>
    <w:rsid w:val="002918BB"/>
    <w:rsid w:val="0029621C"/>
    <w:rsid w:val="002A0F1F"/>
    <w:rsid w:val="002A44B6"/>
    <w:rsid w:val="002B138C"/>
    <w:rsid w:val="002B41F7"/>
    <w:rsid w:val="002B6E52"/>
    <w:rsid w:val="002C09F8"/>
    <w:rsid w:val="002C622A"/>
    <w:rsid w:val="002D3D0C"/>
    <w:rsid w:val="002D5CFF"/>
    <w:rsid w:val="002D690A"/>
    <w:rsid w:val="002D79D6"/>
    <w:rsid w:val="00300F9E"/>
    <w:rsid w:val="00302B8E"/>
    <w:rsid w:val="00303535"/>
    <w:rsid w:val="00311760"/>
    <w:rsid w:val="00313653"/>
    <w:rsid w:val="003214F4"/>
    <w:rsid w:val="003257E9"/>
    <w:rsid w:val="00327406"/>
    <w:rsid w:val="00332150"/>
    <w:rsid w:val="00333F7A"/>
    <w:rsid w:val="00341F58"/>
    <w:rsid w:val="00343A07"/>
    <w:rsid w:val="003454BE"/>
    <w:rsid w:val="00345549"/>
    <w:rsid w:val="00345855"/>
    <w:rsid w:val="00346BEE"/>
    <w:rsid w:val="0035167F"/>
    <w:rsid w:val="00351E13"/>
    <w:rsid w:val="00354148"/>
    <w:rsid w:val="00361810"/>
    <w:rsid w:val="0036310B"/>
    <w:rsid w:val="00363224"/>
    <w:rsid w:val="003642FF"/>
    <w:rsid w:val="00367789"/>
    <w:rsid w:val="003700E0"/>
    <w:rsid w:val="00370FCB"/>
    <w:rsid w:val="0037135F"/>
    <w:rsid w:val="00374BBD"/>
    <w:rsid w:val="00374E7F"/>
    <w:rsid w:val="0038600C"/>
    <w:rsid w:val="0039672D"/>
    <w:rsid w:val="003A0965"/>
    <w:rsid w:val="003A1EB7"/>
    <w:rsid w:val="003B0940"/>
    <w:rsid w:val="003B0A55"/>
    <w:rsid w:val="003B4869"/>
    <w:rsid w:val="003B6E9D"/>
    <w:rsid w:val="003C0BD4"/>
    <w:rsid w:val="003C17F4"/>
    <w:rsid w:val="003D1744"/>
    <w:rsid w:val="003D268E"/>
    <w:rsid w:val="003D30AF"/>
    <w:rsid w:val="003E08DA"/>
    <w:rsid w:val="003E0C6C"/>
    <w:rsid w:val="003E2311"/>
    <w:rsid w:val="003E2CEB"/>
    <w:rsid w:val="003E373A"/>
    <w:rsid w:val="003E4206"/>
    <w:rsid w:val="003E6093"/>
    <w:rsid w:val="003F12C0"/>
    <w:rsid w:val="003F12EA"/>
    <w:rsid w:val="003F2CF4"/>
    <w:rsid w:val="003F6B66"/>
    <w:rsid w:val="004049E1"/>
    <w:rsid w:val="00417869"/>
    <w:rsid w:val="00423DDB"/>
    <w:rsid w:val="0042429B"/>
    <w:rsid w:val="004247BA"/>
    <w:rsid w:val="00425361"/>
    <w:rsid w:val="004322A2"/>
    <w:rsid w:val="0043235B"/>
    <w:rsid w:val="00434537"/>
    <w:rsid w:val="00435091"/>
    <w:rsid w:val="00456DE1"/>
    <w:rsid w:val="00471C61"/>
    <w:rsid w:val="00473E77"/>
    <w:rsid w:val="00475E8F"/>
    <w:rsid w:val="00486B0C"/>
    <w:rsid w:val="00486DAA"/>
    <w:rsid w:val="00486DE5"/>
    <w:rsid w:val="00491FD1"/>
    <w:rsid w:val="004932DA"/>
    <w:rsid w:val="004968C9"/>
    <w:rsid w:val="004977C8"/>
    <w:rsid w:val="004A17D8"/>
    <w:rsid w:val="004A1BD1"/>
    <w:rsid w:val="004A4A25"/>
    <w:rsid w:val="004A7EAD"/>
    <w:rsid w:val="004B0369"/>
    <w:rsid w:val="004B46A2"/>
    <w:rsid w:val="004C1B15"/>
    <w:rsid w:val="004C5495"/>
    <w:rsid w:val="004D0897"/>
    <w:rsid w:val="004D130D"/>
    <w:rsid w:val="004D1F39"/>
    <w:rsid w:val="004D6AAD"/>
    <w:rsid w:val="004E329E"/>
    <w:rsid w:val="004E4A02"/>
    <w:rsid w:val="004F20A6"/>
    <w:rsid w:val="004F4A9E"/>
    <w:rsid w:val="004F54BD"/>
    <w:rsid w:val="004F6741"/>
    <w:rsid w:val="004F6FE7"/>
    <w:rsid w:val="00502144"/>
    <w:rsid w:val="005032DB"/>
    <w:rsid w:val="005055A5"/>
    <w:rsid w:val="0050672E"/>
    <w:rsid w:val="00512066"/>
    <w:rsid w:val="00517BEA"/>
    <w:rsid w:val="00525B78"/>
    <w:rsid w:val="00532485"/>
    <w:rsid w:val="005352EE"/>
    <w:rsid w:val="00541A41"/>
    <w:rsid w:val="00543733"/>
    <w:rsid w:val="005441AA"/>
    <w:rsid w:val="00545104"/>
    <w:rsid w:val="00546BDC"/>
    <w:rsid w:val="00546C10"/>
    <w:rsid w:val="005504E1"/>
    <w:rsid w:val="00551BB3"/>
    <w:rsid w:val="005612BE"/>
    <w:rsid w:val="00563827"/>
    <w:rsid w:val="005647A0"/>
    <w:rsid w:val="0056585D"/>
    <w:rsid w:val="005673B2"/>
    <w:rsid w:val="00572BCC"/>
    <w:rsid w:val="00572D5A"/>
    <w:rsid w:val="00573C9F"/>
    <w:rsid w:val="0057480A"/>
    <w:rsid w:val="00575456"/>
    <w:rsid w:val="005754C1"/>
    <w:rsid w:val="00576E75"/>
    <w:rsid w:val="00577152"/>
    <w:rsid w:val="00584DAB"/>
    <w:rsid w:val="005954B0"/>
    <w:rsid w:val="005956D2"/>
    <w:rsid w:val="005A03F6"/>
    <w:rsid w:val="005A5988"/>
    <w:rsid w:val="005A7288"/>
    <w:rsid w:val="005B3A75"/>
    <w:rsid w:val="005B3AB1"/>
    <w:rsid w:val="005C52F2"/>
    <w:rsid w:val="005C77E9"/>
    <w:rsid w:val="005D3C44"/>
    <w:rsid w:val="005D3E2F"/>
    <w:rsid w:val="005D6622"/>
    <w:rsid w:val="005D729E"/>
    <w:rsid w:val="005E082F"/>
    <w:rsid w:val="005E2B36"/>
    <w:rsid w:val="005E62AF"/>
    <w:rsid w:val="005F100D"/>
    <w:rsid w:val="005F6B65"/>
    <w:rsid w:val="005F7C4D"/>
    <w:rsid w:val="006001DC"/>
    <w:rsid w:val="00602D29"/>
    <w:rsid w:val="00605231"/>
    <w:rsid w:val="006060AD"/>
    <w:rsid w:val="00606128"/>
    <w:rsid w:val="0061060D"/>
    <w:rsid w:val="00612AE7"/>
    <w:rsid w:val="006141CE"/>
    <w:rsid w:val="0061580E"/>
    <w:rsid w:val="006165F6"/>
    <w:rsid w:val="00617AD4"/>
    <w:rsid w:val="00617FFB"/>
    <w:rsid w:val="00621756"/>
    <w:rsid w:val="00625570"/>
    <w:rsid w:val="0062660B"/>
    <w:rsid w:val="006344CF"/>
    <w:rsid w:val="006420CF"/>
    <w:rsid w:val="00643E96"/>
    <w:rsid w:val="006468E3"/>
    <w:rsid w:val="00656C2F"/>
    <w:rsid w:val="006603E6"/>
    <w:rsid w:val="006623AE"/>
    <w:rsid w:val="00663C0A"/>
    <w:rsid w:val="00664418"/>
    <w:rsid w:val="00681565"/>
    <w:rsid w:val="00683A4E"/>
    <w:rsid w:val="00685ECA"/>
    <w:rsid w:val="0069020C"/>
    <w:rsid w:val="00691260"/>
    <w:rsid w:val="0069364B"/>
    <w:rsid w:val="00693F42"/>
    <w:rsid w:val="00694F71"/>
    <w:rsid w:val="006A5D40"/>
    <w:rsid w:val="006A6E86"/>
    <w:rsid w:val="006B1F78"/>
    <w:rsid w:val="006B7773"/>
    <w:rsid w:val="006C163A"/>
    <w:rsid w:val="006C3AD1"/>
    <w:rsid w:val="006C5F80"/>
    <w:rsid w:val="006D094A"/>
    <w:rsid w:val="006D1DA8"/>
    <w:rsid w:val="006D3BC3"/>
    <w:rsid w:val="006D42B1"/>
    <w:rsid w:val="006D54AE"/>
    <w:rsid w:val="006E0201"/>
    <w:rsid w:val="006E1AEB"/>
    <w:rsid w:val="006E4BAE"/>
    <w:rsid w:val="006F031C"/>
    <w:rsid w:val="006F1ACF"/>
    <w:rsid w:val="0070094F"/>
    <w:rsid w:val="00703445"/>
    <w:rsid w:val="00710274"/>
    <w:rsid w:val="00714143"/>
    <w:rsid w:val="00714F4A"/>
    <w:rsid w:val="00723E55"/>
    <w:rsid w:val="007300A7"/>
    <w:rsid w:val="0073333E"/>
    <w:rsid w:val="00733672"/>
    <w:rsid w:val="00735E1C"/>
    <w:rsid w:val="0074128B"/>
    <w:rsid w:val="00745043"/>
    <w:rsid w:val="007459FD"/>
    <w:rsid w:val="0075319F"/>
    <w:rsid w:val="00755CCD"/>
    <w:rsid w:val="007642D7"/>
    <w:rsid w:val="00766875"/>
    <w:rsid w:val="00766E7A"/>
    <w:rsid w:val="007675C7"/>
    <w:rsid w:val="00770AC2"/>
    <w:rsid w:val="00773394"/>
    <w:rsid w:val="00785F14"/>
    <w:rsid w:val="007915E3"/>
    <w:rsid w:val="007916F7"/>
    <w:rsid w:val="00793497"/>
    <w:rsid w:val="007968F9"/>
    <w:rsid w:val="007A066A"/>
    <w:rsid w:val="007A243F"/>
    <w:rsid w:val="007A60AE"/>
    <w:rsid w:val="007B1E64"/>
    <w:rsid w:val="007B2BD7"/>
    <w:rsid w:val="007B3CE4"/>
    <w:rsid w:val="007B45D9"/>
    <w:rsid w:val="007B7A34"/>
    <w:rsid w:val="007C0894"/>
    <w:rsid w:val="007C3899"/>
    <w:rsid w:val="007C54C6"/>
    <w:rsid w:val="007D506E"/>
    <w:rsid w:val="007D5EC6"/>
    <w:rsid w:val="007E3EA3"/>
    <w:rsid w:val="007E3EFE"/>
    <w:rsid w:val="007F7880"/>
    <w:rsid w:val="00803602"/>
    <w:rsid w:val="008056D0"/>
    <w:rsid w:val="008060B4"/>
    <w:rsid w:val="00811881"/>
    <w:rsid w:val="008122FF"/>
    <w:rsid w:val="00812738"/>
    <w:rsid w:val="008246A0"/>
    <w:rsid w:val="00835248"/>
    <w:rsid w:val="008368B4"/>
    <w:rsid w:val="00841577"/>
    <w:rsid w:val="00850781"/>
    <w:rsid w:val="008507DD"/>
    <w:rsid w:val="00850A92"/>
    <w:rsid w:val="00864F8A"/>
    <w:rsid w:val="008765FE"/>
    <w:rsid w:val="00883459"/>
    <w:rsid w:val="00890C92"/>
    <w:rsid w:val="0089177D"/>
    <w:rsid w:val="00892D54"/>
    <w:rsid w:val="00893A44"/>
    <w:rsid w:val="008B14EB"/>
    <w:rsid w:val="008C6283"/>
    <w:rsid w:val="008D134C"/>
    <w:rsid w:val="008D144D"/>
    <w:rsid w:val="008D2A30"/>
    <w:rsid w:val="008F0F3D"/>
    <w:rsid w:val="008F31EB"/>
    <w:rsid w:val="008F3A5A"/>
    <w:rsid w:val="00900387"/>
    <w:rsid w:val="009058EA"/>
    <w:rsid w:val="009068E5"/>
    <w:rsid w:val="00911FDA"/>
    <w:rsid w:val="00912A43"/>
    <w:rsid w:val="009265F2"/>
    <w:rsid w:val="009369B3"/>
    <w:rsid w:val="00942379"/>
    <w:rsid w:val="009446B2"/>
    <w:rsid w:val="00947F4F"/>
    <w:rsid w:val="009532CE"/>
    <w:rsid w:val="00964660"/>
    <w:rsid w:val="00965872"/>
    <w:rsid w:val="00966109"/>
    <w:rsid w:val="00971110"/>
    <w:rsid w:val="00972318"/>
    <w:rsid w:val="00976D8E"/>
    <w:rsid w:val="00981176"/>
    <w:rsid w:val="00983526"/>
    <w:rsid w:val="00992089"/>
    <w:rsid w:val="00992316"/>
    <w:rsid w:val="009938D4"/>
    <w:rsid w:val="0099685B"/>
    <w:rsid w:val="009A2649"/>
    <w:rsid w:val="009A3A18"/>
    <w:rsid w:val="009A57BC"/>
    <w:rsid w:val="009B1BD3"/>
    <w:rsid w:val="009B5383"/>
    <w:rsid w:val="009C6A22"/>
    <w:rsid w:val="009C7DA5"/>
    <w:rsid w:val="009D0D90"/>
    <w:rsid w:val="009D44BE"/>
    <w:rsid w:val="009E4407"/>
    <w:rsid w:val="009E4B20"/>
    <w:rsid w:val="009F0786"/>
    <w:rsid w:val="009F363A"/>
    <w:rsid w:val="00A003DF"/>
    <w:rsid w:val="00A025A6"/>
    <w:rsid w:val="00A02862"/>
    <w:rsid w:val="00A03E12"/>
    <w:rsid w:val="00A10808"/>
    <w:rsid w:val="00A12CC5"/>
    <w:rsid w:val="00A15E2C"/>
    <w:rsid w:val="00A16302"/>
    <w:rsid w:val="00A22DF0"/>
    <w:rsid w:val="00A2435A"/>
    <w:rsid w:val="00A24696"/>
    <w:rsid w:val="00A371B7"/>
    <w:rsid w:val="00A42044"/>
    <w:rsid w:val="00A423C1"/>
    <w:rsid w:val="00A43CBC"/>
    <w:rsid w:val="00A475F2"/>
    <w:rsid w:val="00A57816"/>
    <w:rsid w:val="00A57B9D"/>
    <w:rsid w:val="00A62831"/>
    <w:rsid w:val="00A659FD"/>
    <w:rsid w:val="00A71BA7"/>
    <w:rsid w:val="00A76F18"/>
    <w:rsid w:val="00A81570"/>
    <w:rsid w:val="00A85645"/>
    <w:rsid w:val="00A902E5"/>
    <w:rsid w:val="00A908BC"/>
    <w:rsid w:val="00A94601"/>
    <w:rsid w:val="00A97497"/>
    <w:rsid w:val="00A974A3"/>
    <w:rsid w:val="00AA133D"/>
    <w:rsid w:val="00AA37F1"/>
    <w:rsid w:val="00AA5C46"/>
    <w:rsid w:val="00AB3CB3"/>
    <w:rsid w:val="00AB4573"/>
    <w:rsid w:val="00AC4833"/>
    <w:rsid w:val="00AD0304"/>
    <w:rsid w:val="00AD2896"/>
    <w:rsid w:val="00AD3119"/>
    <w:rsid w:val="00AE3E54"/>
    <w:rsid w:val="00AE44B1"/>
    <w:rsid w:val="00AF0B03"/>
    <w:rsid w:val="00AF1F10"/>
    <w:rsid w:val="00B00383"/>
    <w:rsid w:val="00B10BA0"/>
    <w:rsid w:val="00B151BD"/>
    <w:rsid w:val="00B36C67"/>
    <w:rsid w:val="00B41101"/>
    <w:rsid w:val="00B43C9C"/>
    <w:rsid w:val="00B60E2C"/>
    <w:rsid w:val="00B61706"/>
    <w:rsid w:val="00B67EB6"/>
    <w:rsid w:val="00B71647"/>
    <w:rsid w:val="00B760BA"/>
    <w:rsid w:val="00B86503"/>
    <w:rsid w:val="00B91FF8"/>
    <w:rsid w:val="00B9262A"/>
    <w:rsid w:val="00B95803"/>
    <w:rsid w:val="00BA031D"/>
    <w:rsid w:val="00BB04EC"/>
    <w:rsid w:val="00BC0682"/>
    <w:rsid w:val="00BC24CF"/>
    <w:rsid w:val="00BC52D5"/>
    <w:rsid w:val="00BC6876"/>
    <w:rsid w:val="00BD2EB1"/>
    <w:rsid w:val="00BD5A97"/>
    <w:rsid w:val="00BD61D6"/>
    <w:rsid w:val="00BD62DC"/>
    <w:rsid w:val="00BD7F49"/>
    <w:rsid w:val="00BE6CEC"/>
    <w:rsid w:val="00C07058"/>
    <w:rsid w:val="00C12FD5"/>
    <w:rsid w:val="00C17AB9"/>
    <w:rsid w:val="00C258FB"/>
    <w:rsid w:val="00C3019D"/>
    <w:rsid w:val="00C31D95"/>
    <w:rsid w:val="00C34346"/>
    <w:rsid w:val="00C44396"/>
    <w:rsid w:val="00C60BB3"/>
    <w:rsid w:val="00C62ADA"/>
    <w:rsid w:val="00C72142"/>
    <w:rsid w:val="00C7284F"/>
    <w:rsid w:val="00C732A4"/>
    <w:rsid w:val="00C74F03"/>
    <w:rsid w:val="00C85349"/>
    <w:rsid w:val="00C87421"/>
    <w:rsid w:val="00C87C56"/>
    <w:rsid w:val="00C955EB"/>
    <w:rsid w:val="00CA3F54"/>
    <w:rsid w:val="00CA5EEF"/>
    <w:rsid w:val="00CB07FF"/>
    <w:rsid w:val="00CB77F0"/>
    <w:rsid w:val="00CC55B2"/>
    <w:rsid w:val="00CD5CCB"/>
    <w:rsid w:val="00CE3610"/>
    <w:rsid w:val="00CE52C4"/>
    <w:rsid w:val="00CF05A1"/>
    <w:rsid w:val="00CF192A"/>
    <w:rsid w:val="00CF33EF"/>
    <w:rsid w:val="00CF68EF"/>
    <w:rsid w:val="00D02F5B"/>
    <w:rsid w:val="00D10013"/>
    <w:rsid w:val="00D12F61"/>
    <w:rsid w:val="00D13EF5"/>
    <w:rsid w:val="00D15C78"/>
    <w:rsid w:val="00D20CBC"/>
    <w:rsid w:val="00D25CBC"/>
    <w:rsid w:val="00D26975"/>
    <w:rsid w:val="00D30EBE"/>
    <w:rsid w:val="00D34809"/>
    <w:rsid w:val="00D439E2"/>
    <w:rsid w:val="00D44D00"/>
    <w:rsid w:val="00D64EB3"/>
    <w:rsid w:val="00D65800"/>
    <w:rsid w:val="00D706C7"/>
    <w:rsid w:val="00D72BD3"/>
    <w:rsid w:val="00D7693B"/>
    <w:rsid w:val="00D81A38"/>
    <w:rsid w:val="00D83142"/>
    <w:rsid w:val="00D8443C"/>
    <w:rsid w:val="00D85C10"/>
    <w:rsid w:val="00D87911"/>
    <w:rsid w:val="00D9152B"/>
    <w:rsid w:val="00D9360F"/>
    <w:rsid w:val="00D97F93"/>
    <w:rsid w:val="00DA2BEB"/>
    <w:rsid w:val="00DA3127"/>
    <w:rsid w:val="00DB085F"/>
    <w:rsid w:val="00DB607D"/>
    <w:rsid w:val="00DB6ADF"/>
    <w:rsid w:val="00DC0E42"/>
    <w:rsid w:val="00DC1585"/>
    <w:rsid w:val="00DD42B5"/>
    <w:rsid w:val="00DD77C0"/>
    <w:rsid w:val="00DE151D"/>
    <w:rsid w:val="00DE7971"/>
    <w:rsid w:val="00DE7ACD"/>
    <w:rsid w:val="00DF0F6B"/>
    <w:rsid w:val="00DF3C3B"/>
    <w:rsid w:val="00DF3F89"/>
    <w:rsid w:val="00E05AB3"/>
    <w:rsid w:val="00E11FD4"/>
    <w:rsid w:val="00E22326"/>
    <w:rsid w:val="00E2783E"/>
    <w:rsid w:val="00E36A9D"/>
    <w:rsid w:val="00E41540"/>
    <w:rsid w:val="00E43B52"/>
    <w:rsid w:val="00E44369"/>
    <w:rsid w:val="00E4445B"/>
    <w:rsid w:val="00E471E3"/>
    <w:rsid w:val="00E50FA1"/>
    <w:rsid w:val="00E53364"/>
    <w:rsid w:val="00E61737"/>
    <w:rsid w:val="00E74857"/>
    <w:rsid w:val="00E77D3D"/>
    <w:rsid w:val="00E81837"/>
    <w:rsid w:val="00E82FDC"/>
    <w:rsid w:val="00E86569"/>
    <w:rsid w:val="00EA040F"/>
    <w:rsid w:val="00EA3D9D"/>
    <w:rsid w:val="00EA526F"/>
    <w:rsid w:val="00EA6554"/>
    <w:rsid w:val="00EB00BA"/>
    <w:rsid w:val="00EB3117"/>
    <w:rsid w:val="00EB7E23"/>
    <w:rsid w:val="00EC05BB"/>
    <w:rsid w:val="00EC4048"/>
    <w:rsid w:val="00EC6CC5"/>
    <w:rsid w:val="00ED2337"/>
    <w:rsid w:val="00ED2B98"/>
    <w:rsid w:val="00ED64E8"/>
    <w:rsid w:val="00EE3466"/>
    <w:rsid w:val="00EE6DEE"/>
    <w:rsid w:val="00EF1BFF"/>
    <w:rsid w:val="00F02B95"/>
    <w:rsid w:val="00F0713D"/>
    <w:rsid w:val="00F10108"/>
    <w:rsid w:val="00F1459E"/>
    <w:rsid w:val="00F16D29"/>
    <w:rsid w:val="00F212A4"/>
    <w:rsid w:val="00F22246"/>
    <w:rsid w:val="00F256D6"/>
    <w:rsid w:val="00F26153"/>
    <w:rsid w:val="00F3067E"/>
    <w:rsid w:val="00F33984"/>
    <w:rsid w:val="00F37529"/>
    <w:rsid w:val="00F41635"/>
    <w:rsid w:val="00F455F3"/>
    <w:rsid w:val="00F47CAC"/>
    <w:rsid w:val="00F51F91"/>
    <w:rsid w:val="00F52A3D"/>
    <w:rsid w:val="00F54AD0"/>
    <w:rsid w:val="00F600D3"/>
    <w:rsid w:val="00F6375D"/>
    <w:rsid w:val="00F63988"/>
    <w:rsid w:val="00F64C88"/>
    <w:rsid w:val="00F67DB0"/>
    <w:rsid w:val="00F7749A"/>
    <w:rsid w:val="00F946DA"/>
    <w:rsid w:val="00F94E01"/>
    <w:rsid w:val="00FA0118"/>
    <w:rsid w:val="00FA6A1F"/>
    <w:rsid w:val="00FB68D3"/>
    <w:rsid w:val="00FB7B56"/>
    <w:rsid w:val="00FC1B5D"/>
    <w:rsid w:val="00FC38D3"/>
    <w:rsid w:val="00FD0188"/>
    <w:rsid w:val="00FD05A2"/>
    <w:rsid w:val="00FD595A"/>
    <w:rsid w:val="00FD79AB"/>
    <w:rsid w:val="00FE23ED"/>
    <w:rsid w:val="00FF1466"/>
    <w:rsid w:val="00FF1511"/>
    <w:rsid w:val="00FF31F5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25CBC"/>
    <w:rPr>
      <w:color w:val="0000FF"/>
      <w:u w:val="single"/>
    </w:rPr>
  </w:style>
  <w:style w:type="paragraph" w:styleId="a4">
    <w:name w:val="header"/>
    <w:basedOn w:val="a"/>
    <w:link w:val="a5"/>
    <w:rsid w:val="00841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577"/>
  </w:style>
  <w:style w:type="paragraph" w:styleId="a6">
    <w:name w:val="footer"/>
    <w:basedOn w:val="a"/>
    <w:link w:val="a7"/>
    <w:rsid w:val="00841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577"/>
  </w:style>
  <w:style w:type="paragraph" w:styleId="a8">
    <w:name w:val="List Paragraph"/>
    <w:basedOn w:val="a"/>
    <w:qFormat/>
    <w:rsid w:val="005D6622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6B1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1F7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946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25CBC"/>
    <w:rPr>
      <w:color w:val="0000FF"/>
      <w:u w:val="single"/>
    </w:rPr>
  </w:style>
  <w:style w:type="paragraph" w:styleId="a4">
    <w:name w:val="header"/>
    <w:basedOn w:val="a"/>
    <w:link w:val="a5"/>
    <w:rsid w:val="00841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577"/>
  </w:style>
  <w:style w:type="paragraph" w:styleId="a6">
    <w:name w:val="footer"/>
    <w:basedOn w:val="a"/>
    <w:link w:val="a7"/>
    <w:rsid w:val="00841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577"/>
  </w:style>
  <w:style w:type="paragraph" w:styleId="a8">
    <w:name w:val="List Paragraph"/>
    <w:basedOn w:val="a"/>
    <w:qFormat/>
    <w:rsid w:val="005D6622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6B1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1F7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946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83496600CF291EB4FFAA2AD865F213996994D99DD0FDE55176C290176ABDD1AB4ACB18A1CK5uDE" TargetMode="External"/><Relationship Id="rId13" Type="http://schemas.openxmlformats.org/officeDocument/2006/relationships/hyperlink" Target="consultantplus://offline/ref=C6783496600CF291EB4FFAA2AD865F213996994D99DD0FDE55176C290176ABDD1AB4ACB18A1EK5u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783496600CF291EB4FFAA2AD865F213996994D99DD0FDE55176C290176ABDD1AB4ACB18A1EK5u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783496600CF291EB4FFAA2AD865F213996994D99DD0FDE55176C290176ABDD1AB4ACB68718K5u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6783496600CF291EB4FFAA2AD865F213996994D99DD0FDE55176C290176ABDD1AB4ACB68718K5u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783496600CF291EB4FFAA2AD865F213996994D99DD0FDE55176C290176ABDD1AB4ACB18A1EK5u2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Н. Казакова</cp:lastModifiedBy>
  <cp:revision>53</cp:revision>
  <cp:lastPrinted>2024-02-26T12:35:00Z</cp:lastPrinted>
  <dcterms:created xsi:type="dcterms:W3CDTF">2023-03-29T12:21:00Z</dcterms:created>
  <dcterms:modified xsi:type="dcterms:W3CDTF">2024-02-26T12:36:00Z</dcterms:modified>
</cp:coreProperties>
</file>