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7C" w:rsidRPr="007E256B" w:rsidRDefault="00865F7C" w:rsidP="00D67878">
      <w:pPr>
        <w:pStyle w:val="2"/>
        <w:spacing w:before="0" w:after="0" w:line="276" w:lineRule="auto"/>
        <w:ind w:firstLine="709"/>
        <w:contextualSpacing/>
        <w:jc w:val="center"/>
        <w:rPr>
          <w:rFonts w:ascii="Times New Roman" w:hAnsi="Times New Roman" w:cs="Times New Roman"/>
          <w:i w:val="0"/>
          <w:caps/>
          <w:sz w:val="26"/>
          <w:szCs w:val="26"/>
        </w:rPr>
      </w:pPr>
      <w:r w:rsidRPr="007E256B">
        <w:rPr>
          <w:rFonts w:ascii="Times New Roman" w:hAnsi="Times New Roman" w:cs="Times New Roman"/>
          <w:i w:val="0"/>
          <w:caps/>
          <w:sz w:val="26"/>
          <w:szCs w:val="26"/>
        </w:rPr>
        <w:t>заключение</w:t>
      </w:r>
    </w:p>
    <w:p w:rsidR="00865F7C" w:rsidRPr="007E256B" w:rsidRDefault="00865F7C" w:rsidP="00D67878">
      <w:pPr>
        <w:spacing w:line="276" w:lineRule="auto"/>
        <w:ind w:firstLine="709"/>
        <w:contextualSpacing/>
        <w:jc w:val="center"/>
        <w:rPr>
          <w:b/>
          <w:bCs/>
          <w:sz w:val="26"/>
          <w:szCs w:val="26"/>
        </w:rPr>
      </w:pPr>
      <w:r w:rsidRPr="007E256B">
        <w:rPr>
          <w:b/>
          <w:bCs/>
          <w:sz w:val="26"/>
          <w:szCs w:val="26"/>
        </w:rPr>
        <w:t xml:space="preserve">юридического управления </w:t>
      </w:r>
    </w:p>
    <w:p w:rsidR="00865F7C" w:rsidRPr="007E256B" w:rsidRDefault="00865F7C" w:rsidP="00D67878">
      <w:pPr>
        <w:spacing w:line="276" w:lineRule="auto"/>
        <w:ind w:firstLine="709"/>
        <w:contextualSpacing/>
        <w:jc w:val="center"/>
        <w:rPr>
          <w:b/>
          <w:bCs/>
          <w:sz w:val="26"/>
          <w:szCs w:val="26"/>
        </w:rPr>
      </w:pPr>
      <w:r w:rsidRPr="007E256B">
        <w:rPr>
          <w:b/>
          <w:bCs/>
          <w:sz w:val="26"/>
          <w:szCs w:val="26"/>
        </w:rPr>
        <w:t>аппарата Думы городского округа Тольятти</w:t>
      </w:r>
    </w:p>
    <w:p w:rsidR="00865F7C" w:rsidRPr="007E256B" w:rsidRDefault="00865F7C" w:rsidP="00D67878">
      <w:pPr>
        <w:spacing w:line="276" w:lineRule="auto"/>
        <w:ind w:firstLine="709"/>
        <w:contextualSpacing/>
        <w:jc w:val="center"/>
        <w:rPr>
          <w:b/>
          <w:bCs/>
          <w:sz w:val="26"/>
          <w:szCs w:val="26"/>
        </w:rPr>
      </w:pPr>
      <w:r w:rsidRPr="007E256B">
        <w:rPr>
          <w:b/>
          <w:bCs/>
          <w:sz w:val="26"/>
          <w:szCs w:val="26"/>
        </w:rPr>
        <w:t>на проект решения Думы городского округа Тольятти</w:t>
      </w:r>
    </w:p>
    <w:p w:rsidR="003E17B3" w:rsidRPr="007E256B" w:rsidRDefault="003E17B3" w:rsidP="00D67878">
      <w:pPr>
        <w:spacing w:line="276" w:lineRule="auto"/>
        <w:ind w:firstLine="709"/>
        <w:contextualSpacing/>
        <w:jc w:val="center"/>
        <w:rPr>
          <w:b/>
          <w:bCs/>
          <w:sz w:val="26"/>
          <w:szCs w:val="26"/>
        </w:rPr>
      </w:pPr>
      <w:r w:rsidRPr="007E256B">
        <w:rPr>
          <w:b/>
          <w:bCs/>
          <w:sz w:val="26"/>
          <w:szCs w:val="26"/>
        </w:rPr>
        <w:t xml:space="preserve"> «О внесении изменений в решение Думы городского округа Тольятти от 11.12.2018 №88 «О бюджете городского округа Тольятти на 2019 год и плановый период 2020 и 2021 годов» </w:t>
      </w:r>
    </w:p>
    <w:p w:rsidR="00865F7C" w:rsidRPr="007E256B" w:rsidRDefault="00865F7C" w:rsidP="00D67878">
      <w:pPr>
        <w:spacing w:line="276" w:lineRule="auto"/>
        <w:ind w:firstLine="709"/>
        <w:contextualSpacing/>
        <w:jc w:val="center"/>
        <w:rPr>
          <w:b/>
          <w:sz w:val="26"/>
          <w:szCs w:val="26"/>
        </w:rPr>
      </w:pPr>
      <w:r w:rsidRPr="007E256B">
        <w:rPr>
          <w:b/>
          <w:sz w:val="26"/>
          <w:szCs w:val="26"/>
        </w:rPr>
        <w:t xml:space="preserve">(Д - </w:t>
      </w:r>
      <w:r w:rsidR="005869D0" w:rsidRPr="007E256B">
        <w:rPr>
          <w:b/>
          <w:sz w:val="26"/>
          <w:szCs w:val="26"/>
        </w:rPr>
        <w:t>121</w:t>
      </w:r>
      <w:r w:rsidRPr="007E256B">
        <w:rPr>
          <w:b/>
          <w:sz w:val="26"/>
          <w:szCs w:val="26"/>
        </w:rPr>
        <w:t xml:space="preserve"> от </w:t>
      </w:r>
      <w:r w:rsidR="005869D0" w:rsidRPr="007E256B">
        <w:rPr>
          <w:b/>
          <w:sz w:val="26"/>
          <w:szCs w:val="26"/>
        </w:rPr>
        <w:t>24</w:t>
      </w:r>
      <w:r w:rsidRPr="007E256B">
        <w:rPr>
          <w:b/>
          <w:sz w:val="26"/>
          <w:szCs w:val="26"/>
        </w:rPr>
        <w:t>.</w:t>
      </w:r>
      <w:r w:rsidR="003E17B3" w:rsidRPr="007E256B">
        <w:rPr>
          <w:b/>
          <w:sz w:val="26"/>
          <w:szCs w:val="26"/>
        </w:rPr>
        <w:t>04</w:t>
      </w:r>
      <w:r w:rsidRPr="007E256B">
        <w:rPr>
          <w:b/>
          <w:sz w:val="26"/>
          <w:szCs w:val="26"/>
        </w:rPr>
        <w:t>.</w:t>
      </w:r>
      <w:r w:rsidR="003E17B3" w:rsidRPr="007E256B">
        <w:rPr>
          <w:b/>
          <w:sz w:val="26"/>
          <w:szCs w:val="26"/>
        </w:rPr>
        <w:t>2019</w:t>
      </w:r>
      <w:r w:rsidRPr="007E256B">
        <w:rPr>
          <w:b/>
          <w:sz w:val="26"/>
          <w:szCs w:val="26"/>
        </w:rPr>
        <w:t>)</w:t>
      </w:r>
    </w:p>
    <w:p w:rsidR="00865F7C" w:rsidRPr="007E256B" w:rsidRDefault="00865F7C" w:rsidP="00D67878">
      <w:pPr>
        <w:spacing w:line="276" w:lineRule="auto"/>
        <w:ind w:firstLine="709"/>
        <w:contextualSpacing/>
        <w:jc w:val="center"/>
        <w:rPr>
          <w:sz w:val="26"/>
          <w:szCs w:val="26"/>
        </w:rPr>
      </w:pPr>
    </w:p>
    <w:p w:rsidR="00865F7C" w:rsidRPr="007E256B" w:rsidRDefault="00865F7C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В Думу городского округа Тольятти </w:t>
      </w:r>
      <w:r w:rsidR="005869D0" w:rsidRPr="007E256B">
        <w:rPr>
          <w:sz w:val="26"/>
          <w:szCs w:val="26"/>
        </w:rPr>
        <w:t xml:space="preserve">(далее – Дума) </w:t>
      </w:r>
      <w:r w:rsidRPr="007E256B">
        <w:rPr>
          <w:sz w:val="26"/>
          <w:szCs w:val="26"/>
        </w:rPr>
        <w:t xml:space="preserve">от </w:t>
      </w:r>
      <w:r w:rsidR="005869D0" w:rsidRPr="007E256B">
        <w:rPr>
          <w:sz w:val="26"/>
          <w:szCs w:val="26"/>
        </w:rPr>
        <w:t>депутата Думы</w:t>
      </w:r>
      <w:r w:rsidRPr="007E256B">
        <w:rPr>
          <w:sz w:val="26"/>
          <w:szCs w:val="26"/>
        </w:rPr>
        <w:t xml:space="preserve"> </w:t>
      </w:r>
      <w:r w:rsidR="005869D0" w:rsidRPr="007E256B">
        <w:rPr>
          <w:sz w:val="26"/>
          <w:szCs w:val="26"/>
        </w:rPr>
        <w:t xml:space="preserve">Архангельского Е.А. </w:t>
      </w:r>
      <w:r w:rsidRPr="007E256B">
        <w:rPr>
          <w:sz w:val="26"/>
          <w:szCs w:val="26"/>
        </w:rPr>
        <w:t xml:space="preserve">в инициативном порядке поступил пакет документов </w:t>
      </w:r>
      <w:r w:rsidR="003E17B3" w:rsidRPr="007E256B">
        <w:rPr>
          <w:sz w:val="26"/>
          <w:szCs w:val="26"/>
        </w:rPr>
        <w:t>«О внесении изменений в решение Думы городского округа Тольятти от 11.12.2018 №88 «О бюджете городского округа Тольятти на 2019 год и плановый период 2020 и 2021 годов»</w:t>
      </w:r>
      <w:r w:rsidR="005869D0" w:rsidRPr="007E256B">
        <w:rPr>
          <w:sz w:val="26"/>
          <w:szCs w:val="26"/>
        </w:rPr>
        <w:t>.</w:t>
      </w:r>
    </w:p>
    <w:p w:rsidR="00865F7C" w:rsidRPr="007E256B" w:rsidRDefault="00865F7C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>Рассмотрев проект решения Думы городского округа Тольятти</w:t>
      </w:r>
      <w:r w:rsidR="00F97117" w:rsidRPr="007E256B">
        <w:rPr>
          <w:sz w:val="26"/>
          <w:szCs w:val="26"/>
        </w:rPr>
        <w:t xml:space="preserve"> </w:t>
      </w:r>
      <w:r w:rsidR="003E17B3" w:rsidRPr="007E256B">
        <w:rPr>
          <w:sz w:val="26"/>
          <w:szCs w:val="26"/>
        </w:rPr>
        <w:t>«О внесении изменений в решение Думы городского округа Тольятти от 11.12.2018 №88 «О бюджете городского округа Тольятти на 2019 год и плановый период 2020 и 2021 годов»</w:t>
      </w:r>
      <w:r w:rsidRPr="007E256B">
        <w:rPr>
          <w:sz w:val="26"/>
          <w:szCs w:val="26"/>
        </w:rPr>
        <w:t xml:space="preserve"> (далее – проект решения), можно сделать следующие выводы.</w:t>
      </w:r>
    </w:p>
    <w:p w:rsidR="003E17B3" w:rsidRPr="007E256B" w:rsidRDefault="003E17B3" w:rsidP="003E17B3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В соответствии с частью 1 статьи 9 Бюджетного кодекса Российской Федерации составление и рассмотрение проекта местного бюджета, утверждение и исполнение местного бюджета, осуществление </w:t>
      </w:r>
      <w:proofErr w:type="gramStart"/>
      <w:r w:rsidRPr="007E256B">
        <w:rPr>
          <w:sz w:val="26"/>
          <w:szCs w:val="26"/>
        </w:rPr>
        <w:t>контроля за</w:t>
      </w:r>
      <w:proofErr w:type="gramEnd"/>
      <w:r w:rsidRPr="007E256B">
        <w:rPr>
          <w:sz w:val="26"/>
          <w:szCs w:val="26"/>
        </w:rPr>
        <w:t xml:space="preserve"> его исполнением, составление и утверждение отчета об исполнении местного бюджета относится к бюджетным полномочиям муниципальных образований.</w:t>
      </w:r>
    </w:p>
    <w:p w:rsidR="003E17B3" w:rsidRPr="007E256B" w:rsidRDefault="003E17B3" w:rsidP="003E17B3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>Согласно части 1 статьи 153 Бюджетного кодекса Российской Федерации представительные органы рассматривают и утверждают соответствующие бюджеты бюджетной системы Российской Федерации и отчеты об их исполнении. В пункте 2 части 1 статьи 25 Устава городского округа Тольятти закреплено, что утверждение бюджета городского округа Тольятти и отчета об его исполнении находится в исключительной компетенции Думы.</w:t>
      </w:r>
    </w:p>
    <w:p w:rsidR="003E17B3" w:rsidRPr="007E256B" w:rsidRDefault="003E17B3" w:rsidP="003E17B3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Бюджет городского округа Тольятти на 2019 год и на плановый период 2020 и 2021 годов утвержден решением Думы от 11.12.2018 №88. </w:t>
      </w:r>
    </w:p>
    <w:p w:rsidR="00D506C9" w:rsidRPr="007E256B" w:rsidRDefault="00D506C9" w:rsidP="003E17B3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Внесение изменений в ранее принятый нормативный правовой акт относится к компетенции органа, его принявшего. </w:t>
      </w:r>
    </w:p>
    <w:p w:rsidR="00D506C9" w:rsidRDefault="00D506C9" w:rsidP="003E17B3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Таким образом, внесение изменений в решение Думы от 11.12.2018 №88 «О бюджете городского округа Тольятти на 2019 год и плановый период 2020 и 2021 годов» относится к компетенции Думы. </w:t>
      </w:r>
    </w:p>
    <w:p w:rsidR="00D60DDE" w:rsidRPr="007E256B" w:rsidRDefault="00D60DDE" w:rsidP="003E17B3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Как следует из части 5 статьи 3 Положения </w:t>
      </w:r>
      <w:r w:rsidRPr="007E256B">
        <w:rPr>
          <w:sz w:val="26"/>
          <w:szCs w:val="26"/>
        </w:rPr>
        <w:t>о порядке внесения проектов муниципальных правовых актов в Думу, утвержденного решением Думы от 20.03.2013 № 1147</w:t>
      </w:r>
      <w:r>
        <w:rPr>
          <w:sz w:val="26"/>
          <w:szCs w:val="26"/>
        </w:rPr>
        <w:t>, в</w:t>
      </w:r>
      <w:r w:rsidRPr="00D60DDE">
        <w:rPr>
          <w:sz w:val="26"/>
          <w:szCs w:val="26"/>
        </w:rPr>
        <w:t>несение проектов решений в порядке правотворческой инициативы осуществляется в соответствии с Уставом городского округа, Положением о правотворческой инициативе граждан в городском округе Тольятти, утвержденным решением Думы, и настоящим Положением.</w:t>
      </w:r>
      <w:proofErr w:type="gramEnd"/>
    </w:p>
    <w:p w:rsidR="009B7DB0" w:rsidRPr="007E256B" w:rsidRDefault="009B7DB0" w:rsidP="009B7DB0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lastRenderedPageBreak/>
        <w:t xml:space="preserve">Согласно части 1 статьи 75 Устава городского округа Тольятти проект решения Думы о внесении изменений в решение Думы о бюджете городского округа на текущий финансовый </w:t>
      </w:r>
      <w:proofErr w:type="gramStart"/>
      <w:r w:rsidRPr="007E256B">
        <w:rPr>
          <w:sz w:val="26"/>
          <w:szCs w:val="26"/>
        </w:rPr>
        <w:t>год</w:t>
      </w:r>
      <w:proofErr w:type="gramEnd"/>
      <w:r w:rsidRPr="007E256B">
        <w:rPr>
          <w:sz w:val="26"/>
          <w:szCs w:val="26"/>
        </w:rPr>
        <w:t xml:space="preserve"> и плановый период вносится в Думу главой городского округа с представлением обоснований, требующих внесения изменений. Депутаты Думы, депутатские объединения, постоянные комиссии Думы вправе выступить с инициативой о внесении изменений в решение Думы о бюджете городского округа на текущий финансовый год и плановый период при условии наличия заключения главы городского округа.</w:t>
      </w:r>
    </w:p>
    <w:p w:rsidR="009B7DB0" w:rsidRPr="007E256B" w:rsidRDefault="009B7DB0" w:rsidP="009B7DB0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7E256B">
        <w:rPr>
          <w:sz w:val="26"/>
          <w:szCs w:val="26"/>
        </w:rPr>
        <w:t>В соответствии с частью 6 статьи 5 Положения о порядке внесения проектов муниципальных правовых актов в Думу, утвержденного решением Думы от 20.03.2013 № 1147, проект решения, предусматривающий осуществление расходов из средств бюджета городского округа, может быть внесен на рассмотрение Думы только по инициативе главы городского округа или при наличии заключения главы городского округа.</w:t>
      </w:r>
      <w:proofErr w:type="gramEnd"/>
      <w:r w:rsidRPr="007E256B">
        <w:rPr>
          <w:sz w:val="26"/>
          <w:szCs w:val="26"/>
        </w:rPr>
        <w:t xml:space="preserve"> Заключение главы приобщается к пакету документов, представленному субъектом правотворческой инициативы на рассмотрение Думы.</w:t>
      </w:r>
    </w:p>
    <w:p w:rsidR="009B7DB0" w:rsidRPr="007E256B" w:rsidRDefault="009B7DB0" w:rsidP="009B7DB0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Следует отметить, что в представленном пакете документов заключение главы городского округа Тольятти отсутствует. </w:t>
      </w:r>
    </w:p>
    <w:p w:rsidR="009B7DB0" w:rsidRPr="007E256B" w:rsidRDefault="009B7DB0" w:rsidP="009B7DB0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Представляется целесообразным рекомендовать субъекту правотворческой инициативы представить пояснения о наличии заключения главы городского округа Тольятти или о направлении рассматриваемого пакета документов главе городского округа Тольятти для дачи соответствующего заключения. </w:t>
      </w:r>
    </w:p>
    <w:p w:rsidR="005869D0" w:rsidRPr="007E256B" w:rsidRDefault="003B537F" w:rsidP="005869D0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7E256B">
        <w:rPr>
          <w:sz w:val="26"/>
          <w:szCs w:val="26"/>
        </w:rPr>
        <w:t>Решением Думы от 02.04.2019 №208 в решение Ду</w:t>
      </w:r>
      <w:r w:rsidR="005869D0" w:rsidRPr="007E256B">
        <w:rPr>
          <w:sz w:val="26"/>
          <w:szCs w:val="26"/>
        </w:rPr>
        <w:t xml:space="preserve">мы </w:t>
      </w:r>
      <w:r w:rsidR="00D506C9" w:rsidRPr="007E256B">
        <w:rPr>
          <w:sz w:val="26"/>
          <w:szCs w:val="26"/>
        </w:rPr>
        <w:t xml:space="preserve">от 11.12.2018 № 88 «О бюджете городского округа Тольятти на 2019 год и плановый период 2020 и 2021 годов» </w:t>
      </w:r>
      <w:r w:rsidR="005869D0" w:rsidRPr="007E256B">
        <w:rPr>
          <w:sz w:val="26"/>
          <w:szCs w:val="26"/>
        </w:rPr>
        <w:t>внесены изменения, а именно по ГРБС «Департамент городского хозяйства» в рамках непрограммных расходов предусмотрены денежные средства в сумме 1 318 тыс. руб. в связи с необходимостью охраны земельного участка с кадастровым номером 63:09</w:t>
      </w:r>
      <w:proofErr w:type="gramEnd"/>
      <w:r w:rsidR="005869D0" w:rsidRPr="007E256B">
        <w:rPr>
          <w:sz w:val="26"/>
          <w:szCs w:val="26"/>
        </w:rPr>
        <w:t>:0303070:520, переданного от ОАО «Нива» по мировому соглашению от 30.11.2018 и находящегося в настоящее время в муниципальной собственности. Как следует из пояснительной записки к проекту решения Думы, расходы предусматриваются на 3 месяца текущего года до проведения конкурса по определению Администрации кладбища.</w:t>
      </w:r>
    </w:p>
    <w:p w:rsidR="003B537F" w:rsidRPr="007E256B" w:rsidRDefault="005869D0" w:rsidP="003B537F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7E256B">
        <w:rPr>
          <w:sz w:val="26"/>
          <w:szCs w:val="26"/>
        </w:rPr>
        <w:t xml:space="preserve">Пунктом </w:t>
      </w:r>
      <w:r w:rsidR="003B537F" w:rsidRPr="007E256B">
        <w:rPr>
          <w:sz w:val="26"/>
          <w:szCs w:val="26"/>
        </w:rPr>
        <w:t>3 решения Думы от</w:t>
      </w:r>
      <w:r w:rsidRPr="007E256B">
        <w:rPr>
          <w:sz w:val="26"/>
          <w:szCs w:val="26"/>
        </w:rPr>
        <w:t xml:space="preserve"> 02.04.2019 №208 предусмотрено о</w:t>
      </w:r>
      <w:r w:rsidR="003B537F" w:rsidRPr="007E256B">
        <w:rPr>
          <w:sz w:val="26"/>
          <w:szCs w:val="26"/>
        </w:rPr>
        <w:t>ткрыть лимиты финансирования бюджетных обязательств по главному распорядителю бюджетных средств «Департамент городского хозяйства администрации городского округа Тольятти» на 2019 год в рамках непрограммных расходов на охрану земельного участка с кадастровым номером 63:09:0303070:520, переданного от ОАО «Нива», на 3 месяца 2019 года до проведения конкурса по определению администрации кладбища в</w:t>
      </w:r>
      <w:proofErr w:type="gramEnd"/>
      <w:r w:rsidR="003B537F" w:rsidRPr="007E256B">
        <w:rPr>
          <w:sz w:val="26"/>
          <w:szCs w:val="26"/>
        </w:rPr>
        <w:t xml:space="preserve"> сумме 1 318 </w:t>
      </w:r>
      <w:proofErr w:type="spellStart"/>
      <w:r w:rsidR="003B537F" w:rsidRPr="007E256B">
        <w:rPr>
          <w:sz w:val="26"/>
          <w:szCs w:val="26"/>
        </w:rPr>
        <w:t>тыс</w:t>
      </w:r>
      <w:proofErr w:type="gramStart"/>
      <w:r w:rsidR="003B537F" w:rsidRPr="007E256B">
        <w:rPr>
          <w:sz w:val="26"/>
          <w:szCs w:val="26"/>
        </w:rPr>
        <w:t>.р</w:t>
      </w:r>
      <w:proofErr w:type="gramEnd"/>
      <w:r w:rsidR="003B537F" w:rsidRPr="007E256B">
        <w:rPr>
          <w:sz w:val="26"/>
          <w:szCs w:val="26"/>
        </w:rPr>
        <w:t>уб</w:t>
      </w:r>
      <w:proofErr w:type="spellEnd"/>
      <w:r w:rsidR="003B537F" w:rsidRPr="007E256B">
        <w:rPr>
          <w:sz w:val="26"/>
          <w:szCs w:val="26"/>
        </w:rPr>
        <w:t>. после принятия Думой городского округа Тольятти отдельного решения по данному вопросу.</w:t>
      </w:r>
    </w:p>
    <w:p w:rsidR="005869D0" w:rsidRPr="007E256B" w:rsidRDefault="005869D0" w:rsidP="003B537F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7E256B">
        <w:rPr>
          <w:sz w:val="26"/>
          <w:szCs w:val="26"/>
        </w:rPr>
        <w:t xml:space="preserve">Администрацией городского округа Тольятти (далее – администрация) в пакете документов по вопросу «О внесении изменений в решение Думы городского округа Тольятти от 02.04.2019 №208 «О внесении изменений в решение Думы </w:t>
      </w:r>
      <w:r w:rsidRPr="007E256B">
        <w:rPr>
          <w:sz w:val="26"/>
          <w:szCs w:val="26"/>
        </w:rPr>
        <w:lastRenderedPageBreak/>
        <w:t>городского округа Тольятти от 11.12.2018 №88 «О бюджете городского округа Тольятти на 2019 год и плановый период 2020 и 2021 годов» было предложено признать утратившим силу вышеуказанный пункт решения Думы от</w:t>
      </w:r>
      <w:proofErr w:type="gramEnd"/>
      <w:r w:rsidRPr="007E256B">
        <w:rPr>
          <w:sz w:val="26"/>
          <w:szCs w:val="26"/>
        </w:rPr>
        <w:t xml:space="preserve"> 02.04.2019 №208. </w:t>
      </w:r>
    </w:p>
    <w:p w:rsidR="006315E7" w:rsidRPr="007E256B" w:rsidRDefault="006315E7" w:rsidP="006315E7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Решением постоянной комиссии по бюджету и экономической политике Думы от 16.04.2019 № 61 Думе было рекомендовано принять представленный главой городского округа Тольятти проект решения Думы за исключением признания утратившим силу пункта 3 решения Думы от 02.04.2019 №208. </w:t>
      </w:r>
    </w:p>
    <w:p w:rsidR="006315E7" w:rsidRPr="007E256B" w:rsidRDefault="006315E7" w:rsidP="006315E7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7E256B">
        <w:rPr>
          <w:sz w:val="26"/>
          <w:szCs w:val="26"/>
        </w:rPr>
        <w:t>Таким образом, в настоящее время в бюджете городского округа Тольятти на 2019 год предусмотрены бюджетные ассигнования по ГРБС «Департамент городского хозяйства» в рамках непрограммных расходов в сумме 1 318 тыс. руб. в связи с необходимостью охраны земельного участка с кадастровым номером 63:09:0303070:520, переданного от ОАО «Нива»</w:t>
      </w:r>
      <w:r w:rsidR="00C54BB5" w:rsidRPr="007E256B">
        <w:rPr>
          <w:sz w:val="26"/>
          <w:szCs w:val="26"/>
        </w:rPr>
        <w:t>, однако пунктом 3 решения Думы от 02.04.2019 №208 предусмотрено открыть вышеуказанные</w:t>
      </w:r>
      <w:proofErr w:type="gramEnd"/>
      <w:r w:rsidR="00C54BB5" w:rsidRPr="007E256B">
        <w:rPr>
          <w:sz w:val="26"/>
          <w:szCs w:val="26"/>
        </w:rPr>
        <w:t xml:space="preserve"> лимиты бюджетных ассигнований после принятия Думой отдельного решения по данному вопросу. </w:t>
      </w:r>
    </w:p>
    <w:p w:rsidR="00C54BB5" w:rsidRPr="007E256B" w:rsidRDefault="00C54BB5" w:rsidP="006315E7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В настоящее время вышеуказанное решение Думой не принято. </w:t>
      </w:r>
    </w:p>
    <w:p w:rsidR="005869D0" w:rsidRPr="007E256B" w:rsidRDefault="00C54BB5" w:rsidP="00C54BB5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7E256B">
        <w:rPr>
          <w:sz w:val="26"/>
          <w:szCs w:val="26"/>
        </w:rPr>
        <w:t xml:space="preserve">Депутатом Архангельским Е.А. предлагается внести в решение Думы городского округа Тольятти от 11.12.2018 № 88 «О бюджете городского округа Тольятти на 2019 год и плановый период 2020 и 2021 годов» изменение, изложив приложение 10 «Программа муниципальных внутренних заимствований городского округа Тольятти на 2019 год и плановый период 2020 и 2021 годов» в новой редакции согласно приложению. </w:t>
      </w:r>
      <w:proofErr w:type="gramEnd"/>
    </w:p>
    <w:p w:rsidR="00D506C9" w:rsidRPr="007E256B" w:rsidRDefault="00D506C9" w:rsidP="00D506C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Как следует из пояснительной записки, проект решения Думы подготовлен в целях управления муниципальным долгом. Субъект правотворческой инициативы считает, что уплата за охрану земельного участка с кадастровым номером 63:09:0303070:520, переданного от ОАО «Нива» не целесообразна и приведет к неоправданным расходам бюджетных средств. Предлагается направить бюджетные средства в сумме 1 138 тыс. руб. на погашение муниципального долга.  </w:t>
      </w:r>
    </w:p>
    <w:p w:rsidR="00F53A1B" w:rsidRPr="007E256B" w:rsidRDefault="00D506C9" w:rsidP="00F53A1B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>При этом проектом решения Думы не предусмотрено соответствующее сокращение денежных средств по ГРБС «Департамент городского хозяйства» на 2019 год в сумме 1 138 тыс. руб.</w:t>
      </w:r>
      <w:r w:rsidR="00F53A1B" w:rsidRPr="007E256B">
        <w:rPr>
          <w:sz w:val="26"/>
          <w:szCs w:val="26"/>
        </w:rPr>
        <w:t xml:space="preserve"> и не соответствует пояснительной записке к проекту решения Думы. </w:t>
      </w:r>
    </w:p>
    <w:p w:rsidR="007E256B" w:rsidRPr="007E256B" w:rsidRDefault="00D506C9" w:rsidP="00D506C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>В связи с тем, что сокращение расходов бюджета городского округа Тольятти на 2019 год в текстовой части проекта решения Думы не предусмотрено, необходимо отметить отсутствие источника финансирования расходов по сокращению уровня муниципального долга, что в свою очередь нарушает принцип сбалансированности бюджета, предусмотренного статьей 33 Бюджетного Кодекса Российской Федерации.</w:t>
      </w:r>
    </w:p>
    <w:p w:rsidR="00D506C9" w:rsidRPr="007E256B" w:rsidRDefault="007E256B" w:rsidP="00D506C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Представляется целесообразным рекомендовать субъекту правотворческой инициативы доработать проект решения Думы с учетом внесения корреспондирующих изменений в расходную часть бюджета городского округа Тольятти на 2019 год и плановый период 2020 и 2021 годов. </w:t>
      </w:r>
      <w:r w:rsidR="00D506C9" w:rsidRPr="007E256B">
        <w:rPr>
          <w:sz w:val="26"/>
          <w:szCs w:val="26"/>
        </w:rPr>
        <w:t xml:space="preserve"> </w:t>
      </w:r>
    </w:p>
    <w:p w:rsidR="00F53A1B" w:rsidRPr="007E256B" w:rsidRDefault="00F53A1B" w:rsidP="00F53A1B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lastRenderedPageBreak/>
        <w:t xml:space="preserve">Кроме того, к представленному проекту решения Думы имеются замечания юридико-технического характера. </w:t>
      </w:r>
    </w:p>
    <w:p w:rsidR="007E256B" w:rsidRDefault="00F53A1B" w:rsidP="007E256B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Решение Думы городского округа Тольятти от 20.03.2013 № 1147 утверждены правила юридико-технического оформления решений Думы городского округа Тольятти (далее - Правила). </w:t>
      </w:r>
      <w:r w:rsidR="007E256B" w:rsidRPr="007E256B">
        <w:rPr>
          <w:sz w:val="26"/>
          <w:szCs w:val="26"/>
        </w:rPr>
        <w:t xml:space="preserve">В соответствии с частью 3 статьи 14 Правил если решение содержит одно приложение, то данное приложение не нумеруется. Если решение содержит несколько приложений, то данные приложения нумеруются арабскими цифрами без указания знака «N». </w:t>
      </w:r>
    </w:p>
    <w:p w:rsidR="00C3288A" w:rsidRDefault="00C3288A" w:rsidP="007E256B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 этом согласно части 8 статьи 48 Устава городского округа Тольятти р</w:t>
      </w:r>
      <w:r w:rsidRPr="00C3288A">
        <w:rPr>
          <w:sz w:val="26"/>
          <w:szCs w:val="26"/>
        </w:rPr>
        <w:t>ешения Думы, устанавливающие правила, обязательные для исполнения на территории городского округа, вступают в силу после дня их официального опубликования, если в муниципальном правовом акте не установлен иной срок.</w:t>
      </w:r>
      <w:r>
        <w:rPr>
          <w:sz w:val="26"/>
          <w:szCs w:val="26"/>
        </w:rPr>
        <w:t xml:space="preserve"> </w:t>
      </w:r>
    </w:p>
    <w:p w:rsidR="00C3288A" w:rsidRDefault="00C3288A" w:rsidP="007E256B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представляется целесообразным в пункте 3 проекта решения Думы слова «</w:t>
      </w:r>
      <w:r w:rsidRPr="00C3288A">
        <w:rPr>
          <w:sz w:val="26"/>
          <w:szCs w:val="26"/>
        </w:rPr>
        <w:t>со дня его официального опубликования</w:t>
      </w:r>
      <w:r>
        <w:rPr>
          <w:sz w:val="26"/>
          <w:szCs w:val="26"/>
        </w:rPr>
        <w:t>» заменить словами «</w:t>
      </w:r>
      <w:r w:rsidRPr="00C3288A">
        <w:rPr>
          <w:sz w:val="26"/>
          <w:szCs w:val="26"/>
        </w:rPr>
        <w:t>после дня</w:t>
      </w:r>
      <w:r>
        <w:rPr>
          <w:sz w:val="26"/>
          <w:szCs w:val="26"/>
        </w:rPr>
        <w:t xml:space="preserve"> </w:t>
      </w:r>
      <w:r w:rsidRPr="00C3288A">
        <w:rPr>
          <w:sz w:val="26"/>
          <w:szCs w:val="26"/>
        </w:rPr>
        <w:t>его официального опубликования</w:t>
      </w:r>
      <w:r>
        <w:rPr>
          <w:sz w:val="26"/>
          <w:szCs w:val="26"/>
        </w:rPr>
        <w:t xml:space="preserve">». </w:t>
      </w:r>
    </w:p>
    <w:p w:rsidR="005869D0" w:rsidRPr="007E256B" w:rsidRDefault="00F53A1B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На основании вышеизложенного представляется целесообразным рассмотреть представленный пакет документов после его доработки с учетом вышеуказанных рекомендаций, а также при наличии заключения главы городского округа Тольятти. </w:t>
      </w:r>
    </w:p>
    <w:p w:rsidR="00865F7C" w:rsidRPr="007E256B" w:rsidRDefault="00865F7C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>Антикоррупционная 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и Порядком проведения антикоррупционной экспертизы нормативных правовых актов и проектов нормативных правовых актов Думы городского округа Тольятти, утвержденным решением Думы от 07.07.2010 года №345.</w:t>
      </w:r>
    </w:p>
    <w:p w:rsidR="00865F7C" w:rsidRPr="007E256B" w:rsidRDefault="00865F7C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 xml:space="preserve">В проекте решения Думы </w:t>
      </w:r>
      <w:proofErr w:type="spellStart"/>
      <w:r w:rsidRPr="007E256B">
        <w:rPr>
          <w:sz w:val="26"/>
          <w:szCs w:val="26"/>
        </w:rPr>
        <w:t>коррупциогенные</w:t>
      </w:r>
      <w:proofErr w:type="spellEnd"/>
      <w:r w:rsidRPr="007E256B">
        <w:rPr>
          <w:sz w:val="26"/>
          <w:szCs w:val="26"/>
        </w:rPr>
        <w:t xml:space="preserve"> факторы не выявлены.</w:t>
      </w:r>
    </w:p>
    <w:p w:rsidR="00865F7C" w:rsidRPr="007E256B" w:rsidRDefault="00865F7C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>Представленный главой городского округа Тольятти вопрос относится к предметам ведения постоянной комиссии Думы по бюджету и экономической политике.</w:t>
      </w:r>
    </w:p>
    <w:p w:rsidR="00865F7C" w:rsidRPr="007E256B" w:rsidRDefault="00865F7C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7E256B">
        <w:rPr>
          <w:sz w:val="26"/>
          <w:szCs w:val="26"/>
        </w:rPr>
        <w:t>Вывод:</w:t>
      </w:r>
      <w:r w:rsidR="00F97117" w:rsidRPr="007E256B">
        <w:rPr>
          <w:sz w:val="26"/>
          <w:szCs w:val="26"/>
        </w:rPr>
        <w:t xml:space="preserve"> </w:t>
      </w:r>
      <w:r w:rsidRPr="007E256B">
        <w:rPr>
          <w:sz w:val="26"/>
          <w:szCs w:val="26"/>
        </w:rPr>
        <w:t xml:space="preserve">представленный вопрос находится в компетенции Думы городского округа Тольятти и может </w:t>
      </w:r>
      <w:r w:rsidR="006436D9" w:rsidRPr="007E256B">
        <w:rPr>
          <w:sz w:val="26"/>
          <w:szCs w:val="26"/>
        </w:rPr>
        <w:t>быть рассмотрен на её заседании</w:t>
      </w:r>
      <w:r w:rsidR="007E256B" w:rsidRPr="007E256B">
        <w:rPr>
          <w:sz w:val="26"/>
          <w:szCs w:val="26"/>
        </w:rPr>
        <w:t xml:space="preserve"> при наличии заключения главы городского округа Тольятти с учетом настоящего заключения</w:t>
      </w:r>
      <w:r w:rsidR="006436D9" w:rsidRPr="007E256B">
        <w:rPr>
          <w:sz w:val="26"/>
          <w:szCs w:val="26"/>
        </w:rPr>
        <w:t>.</w:t>
      </w:r>
    </w:p>
    <w:p w:rsidR="00865F7C" w:rsidRPr="007E256B" w:rsidRDefault="00865F7C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6436D9" w:rsidRPr="007E256B" w:rsidRDefault="006436D9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865F7C" w:rsidRPr="007E256B" w:rsidRDefault="00865F7C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865F7C" w:rsidRPr="007E256B" w:rsidTr="006D2325">
        <w:tc>
          <w:tcPr>
            <w:tcW w:w="5778" w:type="dxa"/>
          </w:tcPr>
          <w:p w:rsidR="00865F7C" w:rsidRPr="007E256B" w:rsidRDefault="00865F7C" w:rsidP="00D67878">
            <w:pPr>
              <w:spacing w:line="276" w:lineRule="auto"/>
              <w:ind w:firstLine="709"/>
              <w:contextualSpacing/>
              <w:jc w:val="both"/>
              <w:rPr>
                <w:b/>
                <w:sz w:val="26"/>
                <w:szCs w:val="26"/>
              </w:rPr>
            </w:pPr>
            <w:r w:rsidRPr="007E256B">
              <w:rPr>
                <w:b/>
                <w:sz w:val="26"/>
                <w:szCs w:val="26"/>
              </w:rPr>
              <w:t>Руководитель юридического управления</w:t>
            </w:r>
          </w:p>
        </w:tc>
        <w:tc>
          <w:tcPr>
            <w:tcW w:w="3793" w:type="dxa"/>
          </w:tcPr>
          <w:p w:rsidR="00865F7C" w:rsidRPr="007E256B" w:rsidRDefault="00865F7C" w:rsidP="00D67878">
            <w:pPr>
              <w:spacing w:line="276" w:lineRule="auto"/>
              <w:ind w:firstLine="709"/>
              <w:contextualSpacing/>
              <w:jc w:val="right"/>
              <w:rPr>
                <w:b/>
                <w:sz w:val="26"/>
                <w:szCs w:val="26"/>
              </w:rPr>
            </w:pPr>
            <w:r w:rsidRPr="007E256B">
              <w:rPr>
                <w:b/>
                <w:sz w:val="26"/>
                <w:szCs w:val="26"/>
              </w:rPr>
              <w:t>А.В. Домничев</w:t>
            </w:r>
          </w:p>
        </w:tc>
      </w:tr>
    </w:tbl>
    <w:p w:rsidR="00865F7C" w:rsidRPr="007E256B" w:rsidRDefault="00865F7C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E571DF" w:rsidRPr="007E256B" w:rsidRDefault="00E571DF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bookmarkStart w:id="0" w:name="_GoBack"/>
      <w:bookmarkEnd w:id="0"/>
    </w:p>
    <w:p w:rsidR="00E571DF" w:rsidRPr="007E256B" w:rsidRDefault="00E571DF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E571DF" w:rsidRPr="007E256B" w:rsidRDefault="00E571DF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7B5BAF" w:rsidRDefault="007B5BAF" w:rsidP="00D67878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865F7C" w:rsidRPr="007E256B" w:rsidRDefault="0076451B" w:rsidP="00D67878">
      <w:pPr>
        <w:spacing w:line="276" w:lineRule="auto"/>
        <w:ind w:firstLine="709"/>
        <w:contextualSpacing/>
        <w:jc w:val="both"/>
      </w:pPr>
      <w:r w:rsidRPr="007E256B">
        <w:t>А</w:t>
      </w:r>
      <w:r w:rsidR="00865F7C" w:rsidRPr="007E256B">
        <w:t>нтошкина 28-06-68</w:t>
      </w:r>
    </w:p>
    <w:sectPr w:rsidR="00865F7C" w:rsidRPr="007E256B" w:rsidSect="006D2325">
      <w:headerReference w:type="default" r:id="rId8"/>
      <w:pgSz w:w="11906" w:h="16838"/>
      <w:pgMar w:top="1135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325" w:rsidRDefault="006D2325">
      <w:r>
        <w:separator/>
      </w:r>
    </w:p>
  </w:endnote>
  <w:endnote w:type="continuationSeparator" w:id="0">
    <w:p w:rsidR="006D2325" w:rsidRDefault="006D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325" w:rsidRDefault="006D2325">
      <w:r>
        <w:separator/>
      </w:r>
    </w:p>
  </w:footnote>
  <w:footnote w:type="continuationSeparator" w:id="0">
    <w:p w:rsidR="006D2325" w:rsidRDefault="006D2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325" w:rsidRDefault="006D232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288A">
      <w:rPr>
        <w:noProof/>
      </w:rPr>
      <w:t>2</w:t>
    </w:r>
    <w:r>
      <w:rPr>
        <w:noProof/>
      </w:rPr>
      <w:fldChar w:fldCharType="end"/>
    </w:r>
  </w:p>
  <w:p w:rsidR="006D2325" w:rsidRDefault="006D23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51E4"/>
    <w:multiLevelType w:val="hybridMultilevel"/>
    <w:tmpl w:val="9ED290B4"/>
    <w:lvl w:ilvl="0" w:tplc="45AC50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3611B"/>
    <w:multiLevelType w:val="hybridMultilevel"/>
    <w:tmpl w:val="8B12C4BA"/>
    <w:lvl w:ilvl="0" w:tplc="A2D2D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3A1A71"/>
    <w:multiLevelType w:val="hybridMultilevel"/>
    <w:tmpl w:val="043A845A"/>
    <w:lvl w:ilvl="0" w:tplc="58B0CF8E">
      <w:start w:val="5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9035A2"/>
    <w:multiLevelType w:val="hybridMultilevel"/>
    <w:tmpl w:val="060EAFE0"/>
    <w:lvl w:ilvl="0" w:tplc="D2A6E5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0C53BD"/>
    <w:multiLevelType w:val="hybridMultilevel"/>
    <w:tmpl w:val="22546652"/>
    <w:lvl w:ilvl="0" w:tplc="3B1630D0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3804ACA"/>
    <w:multiLevelType w:val="hybridMultilevel"/>
    <w:tmpl w:val="10E0DB7C"/>
    <w:lvl w:ilvl="0" w:tplc="FEFEE6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7C"/>
    <w:rsid w:val="00053CD2"/>
    <w:rsid w:val="0013306B"/>
    <w:rsid w:val="001B1C39"/>
    <w:rsid w:val="001F29D5"/>
    <w:rsid w:val="002A78D3"/>
    <w:rsid w:val="002B601B"/>
    <w:rsid w:val="002E39A7"/>
    <w:rsid w:val="002F2E13"/>
    <w:rsid w:val="00304458"/>
    <w:rsid w:val="003664B7"/>
    <w:rsid w:val="003B537F"/>
    <w:rsid w:val="003B7D68"/>
    <w:rsid w:val="003D3F46"/>
    <w:rsid w:val="003E17B3"/>
    <w:rsid w:val="004561A9"/>
    <w:rsid w:val="0048709D"/>
    <w:rsid w:val="00506592"/>
    <w:rsid w:val="00532163"/>
    <w:rsid w:val="005869D0"/>
    <w:rsid w:val="005F0762"/>
    <w:rsid w:val="006315E7"/>
    <w:rsid w:val="006436D9"/>
    <w:rsid w:val="00694554"/>
    <w:rsid w:val="00694FD4"/>
    <w:rsid w:val="006D2325"/>
    <w:rsid w:val="006F5290"/>
    <w:rsid w:val="00732DF2"/>
    <w:rsid w:val="00745F0E"/>
    <w:rsid w:val="007508E9"/>
    <w:rsid w:val="0076451B"/>
    <w:rsid w:val="007911FA"/>
    <w:rsid w:val="007B0ED5"/>
    <w:rsid w:val="007B5BAF"/>
    <w:rsid w:val="007C1BD7"/>
    <w:rsid w:val="007C2FD5"/>
    <w:rsid w:val="007C44C9"/>
    <w:rsid w:val="007E256B"/>
    <w:rsid w:val="0082120C"/>
    <w:rsid w:val="008221C2"/>
    <w:rsid w:val="00830997"/>
    <w:rsid w:val="00865F7C"/>
    <w:rsid w:val="00874DFD"/>
    <w:rsid w:val="00882C0B"/>
    <w:rsid w:val="008B0AD6"/>
    <w:rsid w:val="008E439D"/>
    <w:rsid w:val="0097079F"/>
    <w:rsid w:val="0099068E"/>
    <w:rsid w:val="009B7DB0"/>
    <w:rsid w:val="00AB6C08"/>
    <w:rsid w:val="00AD6C27"/>
    <w:rsid w:val="00B16C22"/>
    <w:rsid w:val="00B80091"/>
    <w:rsid w:val="00BB2742"/>
    <w:rsid w:val="00BF6F36"/>
    <w:rsid w:val="00C3288A"/>
    <w:rsid w:val="00C47522"/>
    <w:rsid w:val="00C535A6"/>
    <w:rsid w:val="00C54BB5"/>
    <w:rsid w:val="00C72A25"/>
    <w:rsid w:val="00CB214E"/>
    <w:rsid w:val="00CE03FB"/>
    <w:rsid w:val="00D30E8F"/>
    <w:rsid w:val="00D506C9"/>
    <w:rsid w:val="00D520F8"/>
    <w:rsid w:val="00D605F7"/>
    <w:rsid w:val="00D60DDE"/>
    <w:rsid w:val="00D67878"/>
    <w:rsid w:val="00DD0396"/>
    <w:rsid w:val="00E571DF"/>
    <w:rsid w:val="00EC7D15"/>
    <w:rsid w:val="00F11EED"/>
    <w:rsid w:val="00F53A1B"/>
    <w:rsid w:val="00F9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65F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5F7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865F7C"/>
    <w:pPr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865F7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65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865F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5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65F7C"/>
    <w:pPr>
      <w:ind w:left="708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B21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214E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221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221C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65F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5F7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865F7C"/>
    <w:pPr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865F7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65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865F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5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65F7C"/>
    <w:pPr>
      <w:ind w:left="708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B21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214E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221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221C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Антошкина</dc:creator>
  <cp:lastModifiedBy>Анастасия В. Антошкина</cp:lastModifiedBy>
  <cp:revision>6</cp:revision>
  <cp:lastPrinted>2019-04-10T11:40:00Z</cp:lastPrinted>
  <dcterms:created xsi:type="dcterms:W3CDTF">2019-04-25T11:25:00Z</dcterms:created>
  <dcterms:modified xsi:type="dcterms:W3CDTF">2019-04-26T09:36:00Z</dcterms:modified>
</cp:coreProperties>
</file>