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37" w:rsidRPr="0030460A" w:rsidRDefault="00665237" w:rsidP="00665237">
      <w:pPr>
        <w:spacing w:line="276" w:lineRule="auto"/>
        <w:jc w:val="center"/>
        <w:rPr>
          <w:sz w:val="27"/>
          <w:szCs w:val="27"/>
        </w:rPr>
      </w:pPr>
      <w:r w:rsidRPr="0030460A">
        <w:rPr>
          <w:sz w:val="27"/>
          <w:szCs w:val="27"/>
        </w:rPr>
        <w:t>ЗАКЛЮЧЕНИЕ</w:t>
      </w:r>
    </w:p>
    <w:p w:rsidR="00665237" w:rsidRPr="0030460A" w:rsidRDefault="00665237" w:rsidP="00665237">
      <w:pPr>
        <w:spacing w:line="276" w:lineRule="auto"/>
        <w:jc w:val="center"/>
        <w:rPr>
          <w:sz w:val="27"/>
          <w:szCs w:val="27"/>
        </w:rPr>
      </w:pPr>
      <w:r w:rsidRPr="0030460A">
        <w:rPr>
          <w:sz w:val="27"/>
          <w:szCs w:val="27"/>
        </w:rPr>
        <w:t>юридического отдела</w:t>
      </w:r>
    </w:p>
    <w:p w:rsidR="00665237" w:rsidRPr="0030460A" w:rsidRDefault="00665237" w:rsidP="00665237">
      <w:pPr>
        <w:spacing w:line="276" w:lineRule="auto"/>
        <w:jc w:val="center"/>
        <w:rPr>
          <w:sz w:val="27"/>
          <w:szCs w:val="27"/>
        </w:rPr>
      </w:pPr>
      <w:r w:rsidRPr="0030460A">
        <w:rPr>
          <w:sz w:val="27"/>
          <w:szCs w:val="27"/>
        </w:rPr>
        <w:t>аппарата Думы городского округа Тольятти</w:t>
      </w:r>
    </w:p>
    <w:p w:rsidR="00665237" w:rsidRPr="0030460A" w:rsidRDefault="00665237" w:rsidP="00665237">
      <w:pPr>
        <w:spacing w:line="276" w:lineRule="auto"/>
        <w:jc w:val="center"/>
        <w:rPr>
          <w:sz w:val="27"/>
          <w:szCs w:val="27"/>
        </w:rPr>
      </w:pPr>
      <w:r w:rsidRPr="0030460A">
        <w:rPr>
          <w:sz w:val="27"/>
          <w:szCs w:val="27"/>
        </w:rPr>
        <w:t>на проект решения Думы городского округа Тольятти</w:t>
      </w:r>
    </w:p>
    <w:p w:rsidR="00665237" w:rsidRPr="0030460A" w:rsidRDefault="00665237" w:rsidP="00665237">
      <w:pPr>
        <w:spacing w:line="276" w:lineRule="auto"/>
        <w:jc w:val="center"/>
        <w:rPr>
          <w:sz w:val="27"/>
          <w:szCs w:val="27"/>
        </w:rPr>
      </w:pPr>
      <w:r w:rsidRPr="0030460A">
        <w:rPr>
          <w:sz w:val="27"/>
          <w:szCs w:val="27"/>
        </w:rPr>
        <w:t>«О Положении о контрольно-счетной палате городского округа Тольятти Самарской области»</w:t>
      </w:r>
    </w:p>
    <w:p w:rsidR="00665237" w:rsidRPr="0030460A" w:rsidRDefault="00665237" w:rsidP="00665237">
      <w:pPr>
        <w:spacing w:line="276" w:lineRule="auto"/>
        <w:jc w:val="center"/>
        <w:rPr>
          <w:sz w:val="27"/>
          <w:szCs w:val="27"/>
        </w:rPr>
      </w:pPr>
      <w:r w:rsidRPr="0030460A">
        <w:rPr>
          <w:sz w:val="27"/>
          <w:szCs w:val="27"/>
        </w:rPr>
        <w:t>(Д-361 от 15.12.2021 г.)</w:t>
      </w:r>
    </w:p>
    <w:p w:rsidR="00665237" w:rsidRPr="0030460A" w:rsidRDefault="00665237" w:rsidP="00665237">
      <w:pPr>
        <w:tabs>
          <w:tab w:val="center" w:pos="4819"/>
        </w:tabs>
        <w:spacing w:line="276" w:lineRule="auto"/>
        <w:rPr>
          <w:sz w:val="27"/>
          <w:szCs w:val="27"/>
        </w:rPr>
      </w:pPr>
    </w:p>
    <w:p w:rsidR="00665237" w:rsidRPr="0030460A" w:rsidRDefault="00665237" w:rsidP="00665237">
      <w:pPr>
        <w:spacing w:line="276" w:lineRule="auto"/>
        <w:ind w:firstLine="540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Рассмотрев проект решения Думы городского округа Тольятти «О Положении о контрольно-счетной палате городского округа Тольятти Самарской области»,  необходимо отметить следующее.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7"/>
          <w:szCs w:val="27"/>
        </w:rPr>
      </w:pPr>
      <w:proofErr w:type="gramStart"/>
      <w:r w:rsidRPr="0030460A">
        <w:rPr>
          <w:sz w:val="27"/>
          <w:szCs w:val="27"/>
        </w:rPr>
        <w:t>Согласно части 6  статьи 3 Федерального закона 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  наименование, полномочия, состав и порядок деятельности контрольно-счетного органа муниципального образования устанавливаются уставом муниципального образования и (или) нормативным правовым актом представительного органа муниципального образования в соответствии с указанным Федеральным законом.</w:t>
      </w:r>
      <w:proofErr w:type="gramEnd"/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7"/>
          <w:szCs w:val="27"/>
        </w:rPr>
      </w:pPr>
      <w:r w:rsidRPr="0030460A">
        <w:rPr>
          <w:sz w:val="27"/>
          <w:szCs w:val="27"/>
        </w:rPr>
        <w:t>Часть 6 статьи 37.1 Устава городского округа Тольятти предусматривает, что порядок формирования и деятельности контрольно-счетной палаты определяется Уставом городского округа и Положением о контрольно-счетной палате городского округа, утверждаемым Думой.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7"/>
          <w:szCs w:val="27"/>
        </w:rPr>
      </w:pPr>
      <w:r w:rsidRPr="0030460A">
        <w:rPr>
          <w:sz w:val="27"/>
          <w:szCs w:val="27"/>
        </w:rPr>
        <w:tab/>
        <w:t>Таким образом, принятие Положения о контрольно-счетной палате городского округа Тольятти Самарской области относится к компетенции Думы.</w:t>
      </w:r>
    </w:p>
    <w:p w:rsidR="00665237" w:rsidRPr="0030460A" w:rsidRDefault="00665237" w:rsidP="00665237">
      <w:pPr>
        <w:spacing w:line="276" w:lineRule="auto"/>
        <w:jc w:val="both"/>
        <w:rPr>
          <w:sz w:val="27"/>
          <w:szCs w:val="27"/>
        </w:rPr>
      </w:pPr>
      <w:r w:rsidRPr="0030460A">
        <w:rPr>
          <w:sz w:val="27"/>
          <w:szCs w:val="27"/>
        </w:rPr>
        <w:tab/>
        <w:t>В представленном проекте Положения отражены основные вопросы формирования и деятельности контрольно-счетной палаты в соответствии с требованиями Федерального закона № 6-ФЗ</w:t>
      </w:r>
    </w:p>
    <w:p w:rsidR="00665237" w:rsidRPr="0030460A" w:rsidRDefault="00665237" w:rsidP="00665237">
      <w:pPr>
        <w:spacing w:line="276" w:lineRule="auto"/>
        <w:jc w:val="both"/>
        <w:rPr>
          <w:sz w:val="27"/>
          <w:szCs w:val="27"/>
        </w:rPr>
      </w:pPr>
      <w:r w:rsidRPr="0030460A">
        <w:rPr>
          <w:sz w:val="27"/>
          <w:szCs w:val="27"/>
        </w:rPr>
        <w:tab/>
        <w:t>Согласно сопроводительному письму, контрольно-счетной палатой в инициативном порядке подготовлен и представлен на рассмотрение Думы проект решения Думы «О Положении о контрольно-счетной палате городского округа Тольятти» (далее – Положение о КСП).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Подготовленным проектом решения Думы предлагается утвердить Положение о КСП в новой редакции согласно приложению, а также признать утратившими силу решения Думы: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1) от 22.01.2014 № 169 «О Положении о контрольно-счетной палате городского округа Тольятти» и решения Думы о внесении изменений в него;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 xml:space="preserve">2) от 19.02.2014 № 197 «О Порядке осуществления контрольно-счетной палатой городского округа Тольятти полномочий по внешнему </w:t>
      </w:r>
      <w:r w:rsidRPr="0030460A">
        <w:rPr>
          <w:sz w:val="27"/>
          <w:szCs w:val="27"/>
        </w:rPr>
        <w:lastRenderedPageBreak/>
        <w:t>муниципальному финансовому контролю» и решения Думы о внесении изменений в него.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Основанием для принятия Положения о КСП новой редакции является изменение федерального законодательства, регулирующего вопросы деятельности контрольно-счетных органов.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вступившим в силу 30.09.2021,  внесены изменения в Федеральный закон № 6-ФЗ, которые касаются, в том числе: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- императивного придания статуса юридического лица контрольно-счетным органам городских округов, отнесения должностей председателя, заместителя председателя и аудиторов контрольно-счетных органов к муниципальным должностям;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- уточнения требований к кандидатурам на должность председателя, а также его заместителей и аудиторов контрольно-счетного органа;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 xml:space="preserve">- порядка определения представительным органом  штатной численности контрольно-счетного органа  (определяется по представлению </w:t>
      </w:r>
      <w:r w:rsidRPr="0030460A">
        <w:rPr>
          <w:iCs/>
          <w:sz w:val="27"/>
          <w:szCs w:val="27"/>
        </w:rPr>
        <w:t>председателя контрольно-счетного органа муниципального образования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органа);</w:t>
      </w:r>
      <w:r w:rsidRPr="0030460A">
        <w:rPr>
          <w:sz w:val="27"/>
          <w:szCs w:val="27"/>
        </w:rPr>
        <w:t xml:space="preserve"> 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- изменения объема полномочий контрольно-счетных органов и повышение требований к реализации ранее установленных полномочий;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- утверждения Стандартов внешнего государственного и муниципального финансового контроля для проведения контрольных и экспертно-аналитических мероприятий, которые утверждаются контрольно-счетными органами </w:t>
      </w:r>
      <w:r w:rsidRPr="0030460A">
        <w:rPr>
          <w:iCs/>
          <w:sz w:val="27"/>
          <w:szCs w:val="27"/>
        </w:rPr>
        <w:t>в соответствии с общими требованиями, утвержденными Счетной палатой Российской Федерации;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7"/>
          <w:szCs w:val="27"/>
          <w:lang w:eastAsia="en-US"/>
        </w:rPr>
      </w:pPr>
      <w:r w:rsidRPr="0030460A">
        <w:rPr>
          <w:sz w:val="27"/>
          <w:szCs w:val="27"/>
        </w:rPr>
        <w:t xml:space="preserve">- предоставления права контрольно-счетным органам привлекать к участию в проведении контрольных и иных мероприятий </w:t>
      </w:r>
      <w:r w:rsidRPr="0030460A">
        <w:rPr>
          <w:rFonts w:eastAsiaTheme="minorHAnsi"/>
          <w:sz w:val="27"/>
          <w:szCs w:val="27"/>
          <w:lang w:eastAsia="en-US"/>
        </w:rPr>
        <w:t>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переводчиков;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- предоставления права представительным органам муниципального образования обратиться в контрольно-счетный орган субъекта РФ за заключением о соответствии кандидатур на должность председателя контрольно-счетного органа муниципального образования квалификационным требованиям, установленным Федеральным законом;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lastRenderedPageBreak/>
        <w:t>- предоставления права контрольно-счетным органам муниципальных образований или органам местного самоуправления обратиться в Счетную палату РФ за заключением о соответствии деятельности контрольно-счетных органов законодательству о внешнем государственном (муниципальном) финансовом контроле и рекомендациями по повышению ее эффективности;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Cs/>
          <w:sz w:val="27"/>
          <w:szCs w:val="27"/>
        </w:rPr>
      </w:pPr>
      <w:r w:rsidRPr="0030460A">
        <w:rPr>
          <w:sz w:val="27"/>
          <w:szCs w:val="27"/>
        </w:rPr>
        <w:t xml:space="preserve">- предоставления гарантий </w:t>
      </w:r>
      <w:r w:rsidRPr="0030460A">
        <w:rPr>
          <w:bCs/>
          <w:sz w:val="27"/>
          <w:szCs w:val="27"/>
        </w:rPr>
        <w:t>должностным лицам контрольно-счетных органов.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Новая редакция Положения о КСП разработана в целях приведения его в соответствие с изменениями действующего законодательства.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7"/>
          <w:szCs w:val="27"/>
        </w:rPr>
      </w:pPr>
      <w:proofErr w:type="gramStart"/>
      <w:r w:rsidRPr="0030460A">
        <w:rPr>
          <w:sz w:val="27"/>
          <w:szCs w:val="27"/>
        </w:rPr>
        <w:t>Кроме того, Положение о КСП дополнено нормами, содержащимися в Порядке осуществления контрольно-счетной палатой городского округа Тольятти полномочий по внешнему муниципальному финансовому контролю,</w:t>
      </w:r>
      <w:r w:rsidRPr="0030460A">
        <w:rPr>
          <w:rFonts w:eastAsiaTheme="minorHAnsi"/>
          <w:sz w:val="27"/>
          <w:szCs w:val="27"/>
          <w:lang w:eastAsia="en-US"/>
        </w:rPr>
        <w:t xml:space="preserve"> утвержденном решением Думы городского округа от 19.02.2014 № 197, </w:t>
      </w:r>
      <w:r w:rsidRPr="0030460A">
        <w:rPr>
          <w:sz w:val="27"/>
          <w:szCs w:val="27"/>
        </w:rPr>
        <w:t>который в свою очередь, предлагается признать утратившим силу.</w:t>
      </w:r>
      <w:proofErr w:type="gramEnd"/>
    </w:p>
    <w:p w:rsidR="0030460A" w:rsidRPr="0030460A" w:rsidRDefault="0030460A" w:rsidP="0066523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7"/>
          <w:szCs w:val="27"/>
        </w:rPr>
      </w:pPr>
      <w:r w:rsidRPr="0030460A">
        <w:rPr>
          <w:sz w:val="27"/>
          <w:szCs w:val="27"/>
        </w:rPr>
        <w:t>Замечаний юридического характера по проекту Положения о КСП не имеется.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iCs/>
          <w:sz w:val="27"/>
          <w:szCs w:val="27"/>
        </w:rPr>
      </w:pPr>
      <w:r w:rsidRPr="0030460A">
        <w:rPr>
          <w:sz w:val="27"/>
          <w:szCs w:val="27"/>
        </w:rPr>
        <w:t xml:space="preserve">Антикоррупционная 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и </w:t>
      </w:r>
      <w:r w:rsidRPr="0030460A">
        <w:rPr>
          <w:iCs/>
          <w:sz w:val="27"/>
          <w:szCs w:val="27"/>
        </w:rPr>
        <w:t>Порядком проведения антикоррупционной экспертизы нормативных правовых актов и проектов нормативных правовых актов Думы городского округа Тольятти, утвержденным решением Думы от 07.07.2010 № 345.</w:t>
      </w:r>
    </w:p>
    <w:p w:rsidR="00665237" w:rsidRPr="0030460A" w:rsidRDefault="00665237" w:rsidP="00665237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iCs/>
          <w:sz w:val="27"/>
          <w:szCs w:val="27"/>
        </w:rPr>
      </w:pPr>
      <w:r w:rsidRPr="0030460A">
        <w:rPr>
          <w:iCs/>
          <w:sz w:val="27"/>
          <w:szCs w:val="27"/>
        </w:rPr>
        <w:t xml:space="preserve">В представленном проекте решения Думы </w:t>
      </w:r>
      <w:proofErr w:type="spellStart"/>
      <w:r w:rsidRPr="0030460A">
        <w:rPr>
          <w:iCs/>
          <w:sz w:val="27"/>
          <w:szCs w:val="27"/>
        </w:rPr>
        <w:t>коррупциогенные</w:t>
      </w:r>
      <w:proofErr w:type="spellEnd"/>
      <w:r w:rsidRPr="0030460A">
        <w:rPr>
          <w:iCs/>
          <w:sz w:val="27"/>
          <w:szCs w:val="27"/>
        </w:rPr>
        <w:t xml:space="preserve"> факторы не выявлены.</w:t>
      </w:r>
    </w:p>
    <w:p w:rsidR="00665237" w:rsidRPr="0030460A" w:rsidRDefault="00665237" w:rsidP="00665237">
      <w:pPr>
        <w:autoSpaceDE w:val="0"/>
        <w:spacing w:line="276" w:lineRule="auto"/>
        <w:ind w:firstLine="540"/>
        <w:jc w:val="both"/>
        <w:rPr>
          <w:sz w:val="27"/>
          <w:szCs w:val="27"/>
        </w:rPr>
      </w:pPr>
      <w:r w:rsidRPr="0030460A">
        <w:rPr>
          <w:sz w:val="27"/>
          <w:szCs w:val="27"/>
        </w:rPr>
        <w:t xml:space="preserve">Предварительное рассмотрение представленного вопроса относится к предметам ведения постоянной комиссии Думы городского округа Тольятти по контролю, общественной безопасности и соблюдению депутатской этики. </w:t>
      </w:r>
    </w:p>
    <w:p w:rsidR="00665237" w:rsidRPr="0030460A" w:rsidRDefault="00665237" w:rsidP="00665237">
      <w:pPr>
        <w:spacing w:line="276" w:lineRule="auto"/>
        <w:ind w:firstLine="709"/>
        <w:jc w:val="both"/>
        <w:rPr>
          <w:sz w:val="27"/>
          <w:szCs w:val="27"/>
        </w:rPr>
      </w:pPr>
      <w:r w:rsidRPr="0030460A">
        <w:rPr>
          <w:b/>
          <w:sz w:val="27"/>
          <w:szCs w:val="27"/>
        </w:rPr>
        <w:t>Вывод</w:t>
      </w:r>
      <w:r w:rsidRPr="0030460A">
        <w:rPr>
          <w:sz w:val="27"/>
          <w:szCs w:val="27"/>
        </w:rPr>
        <w:t xml:space="preserve">: проект решения Думы городского округа Тольятти «О Положении о контрольно-счетной палате городского округа Тольятти Самарской области »  может быть рассмотрен на заседании Думы городского округа Тольятти. </w:t>
      </w:r>
    </w:p>
    <w:p w:rsidR="00665237" w:rsidRPr="0030460A" w:rsidRDefault="00665237" w:rsidP="00665237">
      <w:pPr>
        <w:spacing w:line="276" w:lineRule="auto"/>
        <w:ind w:firstLine="708"/>
        <w:jc w:val="both"/>
        <w:rPr>
          <w:sz w:val="27"/>
          <w:szCs w:val="27"/>
        </w:rPr>
      </w:pPr>
    </w:p>
    <w:p w:rsidR="00665237" w:rsidRPr="0030460A" w:rsidRDefault="00665237" w:rsidP="00665237">
      <w:pPr>
        <w:shd w:val="clear" w:color="auto" w:fill="FFFFFF"/>
        <w:tabs>
          <w:tab w:val="left" w:pos="7757"/>
        </w:tabs>
        <w:spacing w:line="276" w:lineRule="auto"/>
        <w:ind w:firstLine="709"/>
        <w:rPr>
          <w:b/>
          <w:bCs/>
          <w:sz w:val="27"/>
          <w:szCs w:val="27"/>
        </w:rPr>
      </w:pPr>
    </w:p>
    <w:p w:rsidR="00665237" w:rsidRPr="0030460A" w:rsidRDefault="00665237" w:rsidP="00665237">
      <w:pPr>
        <w:shd w:val="clear" w:color="auto" w:fill="FFFFFF"/>
        <w:tabs>
          <w:tab w:val="left" w:pos="7757"/>
        </w:tabs>
        <w:spacing w:line="276" w:lineRule="auto"/>
        <w:ind w:firstLine="709"/>
        <w:rPr>
          <w:b/>
          <w:bCs/>
          <w:sz w:val="27"/>
          <w:szCs w:val="27"/>
        </w:rPr>
      </w:pPr>
      <w:r w:rsidRPr="0030460A">
        <w:rPr>
          <w:b/>
          <w:bCs/>
          <w:sz w:val="27"/>
          <w:szCs w:val="27"/>
        </w:rPr>
        <w:t>Начальник</w:t>
      </w:r>
    </w:p>
    <w:p w:rsidR="00665237" w:rsidRDefault="00665237" w:rsidP="00665237">
      <w:pPr>
        <w:shd w:val="clear" w:color="auto" w:fill="FFFFFF"/>
        <w:tabs>
          <w:tab w:val="left" w:pos="7757"/>
        </w:tabs>
        <w:spacing w:line="276" w:lineRule="auto"/>
        <w:rPr>
          <w:b/>
          <w:bCs/>
          <w:sz w:val="27"/>
          <w:szCs w:val="27"/>
        </w:rPr>
      </w:pPr>
      <w:r w:rsidRPr="0030460A">
        <w:rPr>
          <w:b/>
          <w:bCs/>
          <w:sz w:val="27"/>
          <w:szCs w:val="27"/>
        </w:rPr>
        <w:t>юридического отдела                                                                Е.В. Смирнова</w:t>
      </w:r>
    </w:p>
    <w:p w:rsidR="0030460A" w:rsidRDefault="0030460A" w:rsidP="00665237">
      <w:pPr>
        <w:shd w:val="clear" w:color="auto" w:fill="FFFFFF"/>
        <w:tabs>
          <w:tab w:val="left" w:pos="7757"/>
        </w:tabs>
        <w:spacing w:line="276" w:lineRule="auto"/>
        <w:rPr>
          <w:b/>
          <w:bCs/>
          <w:sz w:val="27"/>
          <w:szCs w:val="27"/>
        </w:rPr>
      </w:pPr>
      <w:bookmarkStart w:id="0" w:name="_GoBack"/>
      <w:bookmarkEnd w:id="0"/>
    </w:p>
    <w:p w:rsidR="0030460A" w:rsidRPr="0030460A" w:rsidRDefault="0030460A" w:rsidP="00665237">
      <w:pPr>
        <w:shd w:val="clear" w:color="auto" w:fill="FFFFFF"/>
        <w:tabs>
          <w:tab w:val="left" w:pos="7757"/>
        </w:tabs>
        <w:spacing w:line="276" w:lineRule="auto"/>
        <w:rPr>
          <w:bCs/>
          <w:sz w:val="22"/>
          <w:szCs w:val="22"/>
        </w:rPr>
      </w:pPr>
      <w:proofErr w:type="spellStart"/>
      <w:r w:rsidRPr="0030460A">
        <w:rPr>
          <w:bCs/>
          <w:sz w:val="22"/>
          <w:szCs w:val="22"/>
        </w:rPr>
        <w:t>Жирнова</w:t>
      </w:r>
      <w:proofErr w:type="spellEnd"/>
    </w:p>
    <w:p w:rsidR="0030460A" w:rsidRPr="0030460A" w:rsidRDefault="0030460A" w:rsidP="00665237">
      <w:pPr>
        <w:shd w:val="clear" w:color="auto" w:fill="FFFFFF"/>
        <w:tabs>
          <w:tab w:val="left" w:pos="7757"/>
        </w:tabs>
        <w:spacing w:line="276" w:lineRule="auto"/>
        <w:rPr>
          <w:sz w:val="22"/>
          <w:szCs w:val="22"/>
        </w:rPr>
      </w:pPr>
      <w:r w:rsidRPr="0030460A">
        <w:rPr>
          <w:bCs/>
          <w:sz w:val="22"/>
          <w:szCs w:val="22"/>
        </w:rPr>
        <w:t>280668</w:t>
      </w:r>
    </w:p>
    <w:sectPr w:rsidR="0030460A" w:rsidRPr="0030460A" w:rsidSect="002C1308">
      <w:footerReference w:type="default" r:id="rId5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190992"/>
      <w:docPartObj>
        <w:docPartGallery w:val="Page Numbers (Bottom of Page)"/>
        <w:docPartUnique/>
      </w:docPartObj>
    </w:sdtPr>
    <w:sdtEndPr/>
    <w:sdtContent>
      <w:p w:rsidR="00F82C3A" w:rsidRDefault="00E95C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60A">
          <w:rPr>
            <w:noProof/>
          </w:rPr>
          <w:t>3</w:t>
        </w:r>
        <w:r>
          <w:fldChar w:fldCharType="end"/>
        </w:r>
      </w:p>
    </w:sdtContent>
  </w:sdt>
  <w:p w:rsidR="00F82C3A" w:rsidRDefault="00E95CA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37"/>
    <w:rsid w:val="0030460A"/>
    <w:rsid w:val="00665237"/>
    <w:rsid w:val="00790423"/>
    <w:rsid w:val="00E9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52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65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65237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66523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52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65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65237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66523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cp:lastPrinted>2021-12-16T09:57:00Z</cp:lastPrinted>
  <dcterms:created xsi:type="dcterms:W3CDTF">2021-12-16T09:53:00Z</dcterms:created>
  <dcterms:modified xsi:type="dcterms:W3CDTF">2021-12-16T10:08:00Z</dcterms:modified>
</cp:coreProperties>
</file>