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E96" w:rsidRPr="008348E5" w:rsidRDefault="00C35E96" w:rsidP="00022C28">
      <w:pPr>
        <w:ind w:right="222" w:firstLine="0"/>
        <w:jc w:val="center"/>
        <w:rPr>
          <w:sz w:val="28"/>
          <w:szCs w:val="28"/>
        </w:rPr>
      </w:pPr>
      <w:bookmarkStart w:id="0" w:name="_GoBack"/>
      <w:bookmarkEnd w:id="0"/>
      <w:r w:rsidRPr="008348E5">
        <w:rPr>
          <w:sz w:val="28"/>
          <w:szCs w:val="28"/>
        </w:rPr>
        <w:t>ЗАКЛЮЧЕНИЕ</w:t>
      </w:r>
    </w:p>
    <w:p w:rsidR="00710BEE" w:rsidRDefault="00710BEE" w:rsidP="00022C28">
      <w:pPr>
        <w:ind w:right="-1" w:firstLine="0"/>
        <w:jc w:val="center"/>
        <w:rPr>
          <w:sz w:val="28"/>
          <w:szCs w:val="28"/>
        </w:rPr>
      </w:pPr>
      <w:r>
        <w:rPr>
          <w:sz w:val="28"/>
          <w:szCs w:val="28"/>
        </w:rPr>
        <w:t xml:space="preserve">аналитического отдела аппарата </w:t>
      </w:r>
    </w:p>
    <w:p w:rsidR="00C75A33" w:rsidRPr="008348E5" w:rsidRDefault="00C75A33" w:rsidP="00022C28">
      <w:pPr>
        <w:ind w:right="-1" w:firstLine="0"/>
        <w:jc w:val="center"/>
        <w:rPr>
          <w:sz w:val="28"/>
          <w:szCs w:val="28"/>
        </w:rPr>
      </w:pPr>
      <w:r w:rsidRPr="008348E5">
        <w:rPr>
          <w:sz w:val="28"/>
          <w:szCs w:val="28"/>
        </w:rPr>
        <w:t>Думы городского округа Тольятти</w:t>
      </w:r>
    </w:p>
    <w:p w:rsidR="00C75A33" w:rsidRPr="008348E5" w:rsidRDefault="00C75A33" w:rsidP="00022C28">
      <w:pPr>
        <w:ind w:right="-1" w:firstLine="0"/>
        <w:jc w:val="center"/>
        <w:rPr>
          <w:sz w:val="28"/>
          <w:szCs w:val="28"/>
        </w:rPr>
      </w:pPr>
    </w:p>
    <w:p w:rsidR="00710BEE" w:rsidRDefault="0044349A" w:rsidP="00D26ECA">
      <w:pPr>
        <w:ind w:right="-1" w:firstLine="0"/>
        <w:jc w:val="center"/>
        <w:rPr>
          <w:sz w:val="28"/>
          <w:szCs w:val="28"/>
        </w:rPr>
      </w:pPr>
      <w:r w:rsidRPr="008348E5">
        <w:rPr>
          <w:sz w:val="28"/>
          <w:szCs w:val="28"/>
        </w:rPr>
        <w:t xml:space="preserve">на </w:t>
      </w:r>
      <w:r w:rsidR="00C35E96" w:rsidRPr="008348E5">
        <w:rPr>
          <w:sz w:val="28"/>
          <w:szCs w:val="28"/>
        </w:rPr>
        <w:t xml:space="preserve">проект решения Думы городского округа Тольятти </w:t>
      </w:r>
    </w:p>
    <w:p w:rsidR="00005C49" w:rsidRPr="008348E5" w:rsidRDefault="00C332CE" w:rsidP="009A22FC">
      <w:pPr>
        <w:ind w:right="-1" w:firstLine="0"/>
        <w:jc w:val="center"/>
        <w:rPr>
          <w:sz w:val="28"/>
          <w:szCs w:val="28"/>
        </w:rPr>
      </w:pPr>
      <w:r w:rsidRPr="008348E5">
        <w:rPr>
          <w:sz w:val="28"/>
          <w:szCs w:val="28"/>
        </w:rPr>
        <w:t>«</w:t>
      </w:r>
      <w:r w:rsidR="00E14092" w:rsidRPr="00E14092">
        <w:rPr>
          <w:sz w:val="28"/>
          <w:szCs w:val="28"/>
        </w:rPr>
        <w:t>О внесении изменений в отдельные решения Думы городского округа Тольятти по вопросам стратегического планирования и управления социально-экономическим развитием городского округа Тольятти</w:t>
      </w:r>
      <w:r w:rsidR="001B139C" w:rsidRPr="001B139C">
        <w:rPr>
          <w:sz w:val="28"/>
          <w:szCs w:val="28"/>
        </w:rPr>
        <w:t>»</w:t>
      </w:r>
    </w:p>
    <w:p w:rsidR="0044349A" w:rsidRPr="008348E5" w:rsidRDefault="00005C49" w:rsidP="00022C28">
      <w:pPr>
        <w:ind w:right="-1" w:firstLine="0"/>
        <w:jc w:val="center"/>
        <w:rPr>
          <w:sz w:val="28"/>
          <w:szCs w:val="28"/>
        </w:rPr>
      </w:pPr>
      <w:r w:rsidRPr="008348E5">
        <w:rPr>
          <w:sz w:val="28"/>
          <w:szCs w:val="28"/>
        </w:rPr>
        <w:t xml:space="preserve"> </w:t>
      </w:r>
      <w:r w:rsidR="008D5080" w:rsidRPr="008348E5">
        <w:rPr>
          <w:sz w:val="28"/>
          <w:szCs w:val="28"/>
        </w:rPr>
        <w:t>(</w:t>
      </w:r>
      <w:r w:rsidR="002F1191" w:rsidRPr="008348E5">
        <w:rPr>
          <w:sz w:val="28"/>
          <w:szCs w:val="28"/>
        </w:rPr>
        <w:t>Д</w:t>
      </w:r>
      <w:r w:rsidR="00AF64E3">
        <w:rPr>
          <w:sz w:val="28"/>
          <w:szCs w:val="28"/>
        </w:rPr>
        <w:t xml:space="preserve"> </w:t>
      </w:r>
      <w:r w:rsidR="002F1191" w:rsidRPr="008348E5">
        <w:rPr>
          <w:sz w:val="28"/>
          <w:szCs w:val="28"/>
        </w:rPr>
        <w:t>-</w:t>
      </w:r>
      <w:r w:rsidR="00AF64E3">
        <w:rPr>
          <w:sz w:val="28"/>
          <w:szCs w:val="28"/>
        </w:rPr>
        <w:t xml:space="preserve"> </w:t>
      </w:r>
      <w:r w:rsidR="00E14092">
        <w:rPr>
          <w:sz w:val="28"/>
          <w:szCs w:val="28"/>
        </w:rPr>
        <w:t>242</w:t>
      </w:r>
      <w:r w:rsidR="001B139C">
        <w:rPr>
          <w:sz w:val="28"/>
          <w:szCs w:val="28"/>
        </w:rPr>
        <w:t xml:space="preserve"> </w:t>
      </w:r>
      <w:r w:rsidR="002F1191" w:rsidRPr="008348E5">
        <w:rPr>
          <w:sz w:val="28"/>
          <w:szCs w:val="28"/>
        </w:rPr>
        <w:t xml:space="preserve">от </w:t>
      </w:r>
      <w:r w:rsidR="00E14092">
        <w:rPr>
          <w:sz w:val="28"/>
          <w:szCs w:val="28"/>
        </w:rPr>
        <w:t>01</w:t>
      </w:r>
      <w:r w:rsidR="00D26ECA" w:rsidRPr="008348E5">
        <w:rPr>
          <w:sz w:val="28"/>
          <w:szCs w:val="28"/>
        </w:rPr>
        <w:t>.</w:t>
      </w:r>
      <w:r w:rsidR="00CF2F6C">
        <w:rPr>
          <w:sz w:val="28"/>
          <w:szCs w:val="28"/>
        </w:rPr>
        <w:t>1</w:t>
      </w:r>
      <w:r w:rsidR="00E14092">
        <w:rPr>
          <w:sz w:val="28"/>
          <w:szCs w:val="28"/>
        </w:rPr>
        <w:t>2</w:t>
      </w:r>
      <w:r w:rsidR="00D26ECA" w:rsidRPr="008348E5">
        <w:rPr>
          <w:sz w:val="28"/>
          <w:szCs w:val="28"/>
        </w:rPr>
        <w:t>.20</w:t>
      </w:r>
      <w:r w:rsidR="001B139C">
        <w:rPr>
          <w:sz w:val="28"/>
          <w:szCs w:val="28"/>
        </w:rPr>
        <w:t>2</w:t>
      </w:r>
      <w:r w:rsidR="00CF2F6C">
        <w:rPr>
          <w:sz w:val="28"/>
          <w:szCs w:val="28"/>
        </w:rPr>
        <w:t>3</w:t>
      </w:r>
      <w:r w:rsidR="0044349A" w:rsidRPr="008348E5">
        <w:rPr>
          <w:sz w:val="28"/>
          <w:szCs w:val="28"/>
        </w:rPr>
        <w:t xml:space="preserve"> г.)</w:t>
      </w:r>
    </w:p>
    <w:p w:rsidR="0044349A" w:rsidRPr="008348E5" w:rsidRDefault="0044349A" w:rsidP="00022C28">
      <w:pPr>
        <w:ind w:right="-1" w:firstLine="0"/>
        <w:rPr>
          <w:sz w:val="28"/>
          <w:szCs w:val="28"/>
        </w:rPr>
      </w:pPr>
    </w:p>
    <w:p w:rsidR="00677564" w:rsidRDefault="00097391" w:rsidP="004F4A2D">
      <w:pPr>
        <w:ind w:right="-1" w:firstLine="708"/>
        <w:rPr>
          <w:sz w:val="28"/>
          <w:szCs w:val="28"/>
        </w:rPr>
      </w:pPr>
      <w:r w:rsidRPr="00097391">
        <w:rPr>
          <w:sz w:val="28"/>
          <w:szCs w:val="28"/>
        </w:rPr>
        <w:t xml:space="preserve">Проект решения Думы </w:t>
      </w:r>
      <w:r w:rsidR="00AB2B8A">
        <w:rPr>
          <w:sz w:val="28"/>
          <w:szCs w:val="28"/>
        </w:rPr>
        <w:t xml:space="preserve">городского округа Тольятти </w:t>
      </w:r>
      <w:r w:rsidR="004F4A2D">
        <w:rPr>
          <w:sz w:val="28"/>
          <w:szCs w:val="28"/>
        </w:rPr>
        <w:t>«</w:t>
      </w:r>
      <w:r w:rsidR="00E14092" w:rsidRPr="00E14092">
        <w:rPr>
          <w:sz w:val="28"/>
          <w:szCs w:val="28"/>
        </w:rPr>
        <w:t>О внесении изменений в отдельные решения Думы городского округа Тольятти по вопросам стратегического планирования и управления социально-экономическим развитием городского округа Тольятти</w:t>
      </w:r>
      <w:r w:rsidR="004F4A2D" w:rsidRPr="001B139C">
        <w:rPr>
          <w:sz w:val="28"/>
          <w:szCs w:val="28"/>
        </w:rPr>
        <w:t>»</w:t>
      </w:r>
      <w:r w:rsidR="004F4A2D">
        <w:rPr>
          <w:sz w:val="28"/>
          <w:szCs w:val="28"/>
        </w:rPr>
        <w:t xml:space="preserve"> </w:t>
      </w:r>
      <w:r w:rsidR="00E14092">
        <w:rPr>
          <w:sz w:val="28"/>
          <w:szCs w:val="28"/>
        </w:rPr>
        <w:t>(далее – проект решения</w:t>
      </w:r>
      <w:r w:rsidR="00C66A50">
        <w:rPr>
          <w:sz w:val="28"/>
          <w:szCs w:val="28"/>
        </w:rPr>
        <w:t xml:space="preserve">) </w:t>
      </w:r>
      <w:r w:rsidR="00560D86">
        <w:rPr>
          <w:sz w:val="28"/>
          <w:szCs w:val="28"/>
        </w:rPr>
        <w:t>представлен администрацией в</w:t>
      </w:r>
      <w:r w:rsidR="00E14092">
        <w:rPr>
          <w:sz w:val="28"/>
          <w:szCs w:val="28"/>
        </w:rPr>
        <w:t xml:space="preserve">о </w:t>
      </w:r>
      <w:r w:rsidR="005674AD">
        <w:rPr>
          <w:sz w:val="28"/>
          <w:szCs w:val="28"/>
        </w:rPr>
        <w:t xml:space="preserve">исполнение </w:t>
      </w:r>
      <w:r w:rsidR="005674AD" w:rsidRPr="005674AD">
        <w:rPr>
          <w:sz w:val="28"/>
          <w:szCs w:val="28"/>
        </w:rPr>
        <w:t>рекомендаци</w:t>
      </w:r>
      <w:r w:rsidR="005674AD">
        <w:rPr>
          <w:sz w:val="28"/>
          <w:szCs w:val="28"/>
        </w:rPr>
        <w:t>и</w:t>
      </w:r>
      <w:r w:rsidR="005674AD" w:rsidRPr="005674AD">
        <w:rPr>
          <w:sz w:val="28"/>
          <w:szCs w:val="28"/>
        </w:rPr>
        <w:t xml:space="preserve"> постоянной комиссии Думы городского округа Тольятти по бюджету и экономической политике, внесенную в протокол № 1 заседания комиссии 17.10.2023</w:t>
      </w:r>
      <w:r w:rsidR="005D262E">
        <w:rPr>
          <w:sz w:val="28"/>
          <w:szCs w:val="28"/>
        </w:rPr>
        <w:t xml:space="preserve">, </w:t>
      </w:r>
      <w:r w:rsidR="00D47616">
        <w:rPr>
          <w:sz w:val="28"/>
          <w:szCs w:val="28"/>
        </w:rPr>
        <w:t>для рассмотрения на заседании Думы г.о. Тольятти</w:t>
      </w:r>
      <w:r w:rsidR="00677564">
        <w:rPr>
          <w:sz w:val="28"/>
          <w:szCs w:val="28"/>
        </w:rPr>
        <w:t>.</w:t>
      </w:r>
    </w:p>
    <w:p w:rsidR="006F6ACD" w:rsidRDefault="002E3125" w:rsidP="008B09C3">
      <w:pPr>
        <w:ind w:right="-1" w:firstLine="708"/>
        <w:rPr>
          <w:sz w:val="28"/>
          <w:szCs w:val="28"/>
        </w:rPr>
      </w:pPr>
      <w:r w:rsidRPr="008348E5">
        <w:rPr>
          <w:sz w:val="28"/>
          <w:szCs w:val="28"/>
        </w:rPr>
        <w:t xml:space="preserve">Рассмотрев </w:t>
      </w:r>
      <w:r w:rsidR="00677564">
        <w:rPr>
          <w:sz w:val="28"/>
          <w:szCs w:val="28"/>
        </w:rPr>
        <w:t xml:space="preserve">представленный </w:t>
      </w:r>
      <w:r w:rsidRPr="008348E5">
        <w:rPr>
          <w:sz w:val="28"/>
          <w:szCs w:val="28"/>
        </w:rPr>
        <w:t>проект решения</w:t>
      </w:r>
      <w:r w:rsidR="00592657" w:rsidRPr="008348E5">
        <w:rPr>
          <w:sz w:val="28"/>
          <w:szCs w:val="28"/>
        </w:rPr>
        <w:t>, отмечае</w:t>
      </w:r>
      <w:r w:rsidR="008B09C3">
        <w:rPr>
          <w:sz w:val="28"/>
          <w:szCs w:val="28"/>
        </w:rPr>
        <w:t>м</w:t>
      </w:r>
      <w:r w:rsidR="00592657" w:rsidRPr="008348E5">
        <w:rPr>
          <w:sz w:val="28"/>
          <w:szCs w:val="28"/>
        </w:rPr>
        <w:t xml:space="preserve"> следующее</w:t>
      </w:r>
      <w:r w:rsidR="006F6ACD" w:rsidRPr="008348E5">
        <w:rPr>
          <w:sz w:val="28"/>
          <w:szCs w:val="28"/>
        </w:rPr>
        <w:t>.</w:t>
      </w:r>
    </w:p>
    <w:p w:rsidR="005D262E" w:rsidRDefault="0049427F" w:rsidP="005D262E">
      <w:pPr>
        <w:ind w:right="-1" w:firstLine="708"/>
        <w:rPr>
          <w:sz w:val="28"/>
          <w:szCs w:val="28"/>
        </w:rPr>
      </w:pPr>
      <w:r>
        <w:rPr>
          <w:sz w:val="28"/>
          <w:szCs w:val="28"/>
        </w:rPr>
        <w:t xml:space="preserve">Представленный проект </w:t>
      </w:r>
      <w:r w:rsidRPr="0049427F">
        <w:rPr>
          <w:sz w:val="28"/>
          <w:szCs w:val="28"/>
        </w:rPr>
        <w:t>решения Думы</w:t>
      </w:r>
      <w:r>
        <w:rPr>
          <w:sz w:val="28"/>
          <w:szCs w:val="28"/>
        </w:rPr>
        <w:t xml:space="preserve"> предусматривает </w:t>
      </w:r>
      <w:r w:rsidRPr="0049427F">
        <w:rPr>
          <w:sz w:val="28"/>
          <w:szCs w:val="28"/>
        </w:rPr>
        <w:t>внесени</w:t>
      </w:r>
      <w:r w:rsidR="00A7776B">
        <w:rPr>
          <w:sz w:val="28"/>
          <w:szCs w:val="28"/>
        </w:rPr>
        <w:t>е</w:t>
      </w:r>
      <w:r>
        <w:rPr>
          <w:sz w:val="28"/>
          <w:szCs w:val="28"/>
        </w:rPr>
        <w:t xml:space="preserve"> изменений в решение</w:t>
      </w:r>
      <w:r w:rsidRPr="0049427F">
        <w:rPr>
          <w:sz w:val="28"/>
          <w:szCs w:val="28"/>
        </w:rPr>
        <w:t xml:space="preserve"> Думы городского округа Тольятти по вопросам стратегического планирования и управления социально-экономическим развитием городского округа Тольятти, </w:t>
      </w:r>
      <w:r>
        <w:rPr>
          <w:sz w:val="28"/>
          <w:szCs w:val="28"/>
        </w:rPr>
        <w:t>в части включения контрольно-счетной</w:t>
      </w:r>
      <w:r w:rsidRPr="0049427F">
        <w:rPr>
          <w:sz w:val="28"/>
          <w:szCs w:val="28"/>
        </w:rPr>
        <w:t xml:space="preserve"> палат</w:t>
      </w:r>
      <w:r>
        <w:rPr>
          <w:sz w:val="28"/>
          <w:szCs w:val="28"/>
        </w:rPr>
        <w:t>ы</w:t>
      </w:r>
      <w:r w:rsidRPr="0049427F">
        <w:rPr>
          <w:sz w:val="28"/>
          <w:szCs w:val="28"/>
        </w:rPr>
        <w:t xml:space="preserve"> как участника стратегического планирования</w:t>
      </w:r>
      <w:r>
        <w:rPr>
          <w:sz w:val="28"/>
          <w:szCs w:val="28"/>
        </w:rPr>
        <w:t xml:space="preserve"> </w:t>
      </w:r>
      <w:r w:rsidR="005D262E" w:rsidRPr="005D262E">
        <w:rPr>
          <w:sz w:val="28"/>
          <w:szCs w:val="28"/>
        </w:rPr>
        <w:t>в соответствии с положениями Федеральног</w:t>
      </w:r>
      <w:r>
        <w:rPr>
          <w:sz w:val="28"/>
          <w:szCs w:val="28"/>
        </w:rPr>
        <w:t xml:space="preserve">о закона от 28.06.2014 № 172-ФЗ </w:t>
      </w:r>
      <w:r w:rsidR="005D262E" w:rsidRPr="005D262E">
        <w:rPr>
          <w:sz w:val="28"/>
          <w:szCs w:val="28"/>
        </w:rPr>
        <w:t>«О стратегическом планировании в Российской Федерации»</w:t>
      </w:r>
      <w:r>
        <w:rPr>
          <w:sz w:val="28"/>
          <w:szCs w:val="28"/>
        </w:rPr>
        <w:t xml:space="preserve">. </w:t>
      </w:r>
      <w:r w:rsidR="005D262E" w:rsidRPr="005D262E">
        <w:rPr>
          <w:sz w:val="28"/>
          <w:szCs w:val="28"/>
        </w:rPr>
        <w:t xml:space="preserve"> </w:t>
      </w:r>
    </w:p>
    <w:p w:rsidR="0049427F" w:rsidRDefault="00076AE8" w:rsidP="008B09C3">
      <w:pPr>
        <w:ind w:right="-1" w:firstLine="708"/>
        <w:rPr>
          <w:sz w:val="28"/>
          <w:szCs w:val="28"/>
        </w:rPr>
      </w:pPr>
      <w:r>
        <w:rPr>
          <w:sz w:val="28"/>
          <w:szCs w:val="28"/>
        </w:rPr>
        <w:t>В проекте решения</w:t>
      </w:r>
      <w:r w:rsidR="00C66A50">
        <w:rPr>
          <w:sz w:val="28"/>
          <w:szCs w:val="28"/>
        </w:rPr>
        <w:t xml:space="preserve"> предлагается внести изменения и дополнения в </w:t>
      </w:r>
      <w:r w:rsidR="006255DE">
        <w:rPr>
          <w:sz w:val="28"/>
          <w:szCs w:val="28"/>
        </w:rPr>
        <w:t>П</w:t>
      </w:r>
      <w:r w:rsidR="0049427F">
        <w:rPr>
          <w:sz w:val="28"/>
          <w:szCs w:val="28"/>
        </w:rPr>
        <w:t xml:space="preserve">оложение о </w:t>
      </w:r>
      <w:r w:rsidR="0049427F" w:rsidRPr="0049427F">
        <w:rPr>
          <w:sz w:val="28"/>
          <w:szCs w:val="28"/>
        </w:rPr>
        <w:t>стратегическом планировании социально-экономического развития городского округа Тольятти, утвержденное решением Думы городского округа Тольятти от 10.12.2014 № 545</w:t>
      </w:r>
      <w:r w:rsidR="00A14C1E">
        <w:rPr>
          <w:sz w:val="28"/>
          <w:szCs w:val="28"/>
        </w:rPr>
        <w:t xml:space="preserve"> (в редакции от 18.10.2023 г. № 40)</w:t>
      </w:r>
      <w:r w:rsidR="000C5425">
        <w:rPr>
          <w:sz w:val="28"/>
          <w:szCs w:val="28"/>
        </w:rPr>
        <w:t xml:space="preserve">, </w:t>
      </w:r>
      <w:r w:rsidR="000C5425" w:rsidRPr="000C5425">
        <w:rPr>
          <w:sz w:val="28"/>
          <w:szCs w:val="28"/>
        </w:rPr>
        <w:t>Положение о системе управления социально-экономическим развитием городского округа Тольятти, утвержденное решением Думы городского округа Тольятти от 10.12.2014 № 546</w:t>
      </w:r>
      <w:r w:rsidR="00A14C1E">
        <w:rPr>
          <w:sz w:val="28"/>
          <w:szCs w:val="28"/>
        </w:rPr>
        <w:t xml:space="preserve"> (в редакции от 18.10.2023 № 40)</w:t>
      </w:r>
      <w:r w:rsidR="0049427F">
        <w:rPr>
          <w:sz w:val="28"/>
          <w:szCs w:val="28"/>
        </w:rPr>
        <w:t>.</w:t>
      </w:r>
    </w:p>
    <w:p w:rsidR="00D47616" w:rsidRDefault="005A352F" w:rsidP="008B09C3">
      <w:pPr>
        <w:ind w:right="-1" w:firstLine="708"/>
        <w:rPr>
          <w:sz w:val="28"/>
          <w:szCs w:val="28"/>
        </w:rPr>
      </w:pPr>
      <w:r>
        <w:rPr>
          <w:sz w:val="28"/>
          <w:szCs w:val="28"/>
        </w:rPr>
        <w:t>Ср</w:t>
      </w:r>
      <w:r w:rsidR="00D47616">
        <w:rPr>
          <w:sz w:val="28"/>
          <w:szCs w:val="28"/>
        </w:rPr>
        <w:t>авнительная редакция предлагаемых изменений приведена в таблице.</w:t>
      </w:r>
    </w:p>
    <w:tbl>
      <w:tblPr>
        <w:tblStyle w:val="a5"/>
        <w:tblW w:w="0" w:type="auto"/>
        <w:tblLook w:val="04A0" w:firstRow="1" w:lastRow="0" w:firstColumn="1" w:lastColumn="0" w:noHBand="0" w:noVBand="1"/>
      </w:tblPr>
      <w:tblGrid>
        <w:gridCol w:w="4786"/>
        <w:gridCol w:w="4786"/>
      </w:tblGrid>
      <w:tr w:rsidR="004F4DED" w:rsidRPr="00F00AF8" w:rsidTr="00B826E7">
        <w:tc>
          <w:tcPr>
            <w:tcW w:w="4786" w:type="dxa"/>
          </w:tcPr>
          <w:p w:rsidR="004F4DED" w:rsidRPr="00F00AF8" w:rsidRDefault="004F4DED" w:rsidP="004F4DED">
            <w:pPr>
              <w:ind w:right="-1" w:firstLine="0"/>
              <w:jc w:val="center"/>
              <w:rPr>
                <w:b/>
                <w:sz w:val="22"/>
                <w:szCs w:val="22"/>
              </w:rPr>
            </w:pPr>
            <w:r w:rsidRPr="00F00AF8">
              <w:rPr>
                <w:b/>
                <w:sz w:val="22"/>
                <w:szCs w:val="22"/>
              </w:rPr>
              <w:t>Действующая редакция</w:t>
            </w:r>
          </w:p>
        </w:tc>
        <w:tc>
          <w:tcPr>
            <w:tcW w:w="4786" w:type="dxa"/>
          </w:tcPr>
          <w:p w:rsidR="004F4DED" w:rsidRPr="00F00AF8" w:rsidRDefault="004F4DED" w:rsidP="004F4DED">
            <w:pPr>
              <w:ind w:right="-1" w:firstLine="0"/>
              <w:jc w:val="center"/>
              <w:rPr>
                <w:b/>
                <w:sz w:val="22"/>
                <w:szCs w:val="22"/>
              </w:rPr>
            </w:pPr>
            <w:r w:rsidRPr="00F00AF8">
              <w:rPr>
                <w:b/>
                <w:sz w:val="22"/>
                <w:szCs w:val="22"/>
              </w:rPr>
              <w:t>Проект изменений</w:t>
            </w:r>
          </w:p>
        </w:tc>
      </w:tr>
      <w:tr w:rsidR="000C5425" w:rsidRPr="00F00AF8" w:rsidTr="00662936">
        <w:tc>
          <w:tcPr>
            <w:tcW w:w="9572" w:type="dxa"/>
            <w:gridSpan w:val="2"/>
          </w:tcPr>
          <w:p w:rsidR="000C5425" w:rsidRPr="000C5425" w:rsidRDefault="000C5425" w:rsidP="004F4DED">
            <w:pPr>
              <w:ind w:right="-1" w:firstLine="0"/>
              <w:jc w:val="center"/>
              <w:rPr>
                <w:b/>
                <w:sz w:val="22"/>
                <w:szCs w:val="22"/>
              </w:rPr>
            </w:pPr>
            <w:r w:rsidRPr="000C5425">
              <w:rPr>
                <w:b/>
                <w:sz w:val="22"/>
                <w:szCs w:val="22"/>
              </w:rPr>
              <w:t>Положение о стратегическом планировании социально-экономического развития городского округа Тольятти, утвержденное решением Думы городского округа Тольятти от 10.12.2014 № 545</w:t>
            </w:r>
            <w:r w:rsidR="00C46EE9">
              <w:rPr>
                <w:b/>
                <w:sz w:val="22"/>
                <w:szCs w:val="22"/>
              </w:rPr>
              <w:t xml:space="preserve"> (в редакции </w:t>
            </w:r>
            <w:r w:rsidR="00C46EE9" w:rsidRPr="00C46EE9">
              <w:rPr>
                <w:b/>
                <w:sz w:val="22"/>
                <w:szCs w:val="22"/>
              </w:rPr>
              <w:t>от 18.10.2023 N 40</w:t>
            </w:r>
            <w:r w:rsidR="00C46EE9">
              <w:rPr>
                <w:b/>
                <w:sz w:val="22"/>
                <w:szCs w:val="22"/>
              </w:rPr>
              <w:t>)</w:t>
            </w:r>
          </w:p>
        </w:tc>
      </w:tr>
      <w:tr w:rsidR="004F4DED" w:rsidRPr="00F00AF8" w:rsidTr="00B826E7">
        <w:tc>
          <w:tcPr>
            <w:tcW w:w="4786" w:type="dxa"/>
          </w:tcPr>
          <w:p w:rsidR="004F4DED" w:rsidRPr="00951EF6" w:rsidRDefault="00790F03" w:rsidP="00790F03">
            <w:pPr>
              <w:ind w:right="-1" w:firstLine="0"/>
              <w:rPr>
                <w:b/>
                <w:sz w:val="22"/>
                <w:szCs w:val="22"/>
              </w:rPr>
            </w:pPr>
            <w:r w:rsidRPr="00951EF6">
              <w:rPr>
                <w:b/>
                <w:sz w:val="22"/>
                <w:szCs w:val="22"/>
              </w:rPr>
              <w:t>дополнить главу 3 пунктом 13.1</w:t>
            </w:r>
          </w:p>
          <w:p w:rsidR="00790F03" w:rsidRPr="00F00AF8" w:rsidRDefault="00790F03" w:rsidP="00790F03">
            <w:pPr>
              <w:ind w:right="-1" w:firstLine="0"/>
              <w:rPr>
                <w:sz w:val="22"/>
                <w:szCs w:val="22"/>
              </w:rPr>
            </w:pPr>
          </w:p>
        </w:tc>
        <w:tc>
          <w:tcPr>
            <w:tcW w:w="4786" w:type="dxa"/>
          </w:tcPr>
          <w:p w:rsidR="00951EF6" w:rsidRPr="00951EF6" w:rsidRDefault="00951EF6" w:rsidP="00951EF6">
            <w:pPr>
              <w:ind w:right="-1" w:firstLine="0"/>
              <w:rPr>
                <w:sz w:val="22"/>
                <w:szCs w:val="22"/>
              </w:rPr>
            </w:pPr>
            <w:r w:rsidRPr="00951EF6">
              <w:rPr>
                <w:sz w:val="22"/>
                <w:szCs w:val="22"/>
              </w:rPr>
              <w:t>13.1. Контрольно-счетная палата городского округа Тольятти осуществляет:</w:t>
            </w:r>
          </w:p>
          <w:p w:rsidR="00951EF6" w:rsidRPr="00951EF6" w:rsidRDefault="00951EF6" w:rsidP="00951EF6">
            <w:pPr>
              <w:ind w:right="-1" w:firstLine="0"/>
              <w:rPr>
                <w:sz w:val="22"/>
                <w:szCs w:val="22"/>
              </w:rPr>
            </w:pPr>
            <w:r w:rsidRPr="00951EF6">
              <w:rPr>
                <w:sz w:val="22"/>
                <w:szCs w:val="22"/>
              </w:rPr>
              <w:t xml:space="preserve">1) экспертизу проектов муниципальных правовых актов в части, касающейся расходных обязательств городского округа, обусловленных содержанием документов стратегического планирования;    </w:t>
            </w:r>
          </w:p>
          <w:p w:rsidR="00951EF6" w:rsidRPr="00951EF6" w:rsidRDefault="00951EF6" w:rsidP="00951EF6">
            <w:pPr>
              <w:ind w:right="-1" w:firstLine="0"/>
              <w:rPr>
                <w:sz w:val="22"/>
                <w:szCs w:val="22"/>
              </w:rPr>
            </w:pPr>
            <w:r w:rsidRPr="00951EF6">
              <w:rPr>
                <w:sz w:val="22"/>
                <w:szCs w:val="22"/>
              </w:rPr>
              <w:lastRenderedPageBreak/>
              <w:t>2) экспертизу проектов муниципальных правовых актов, приводящих к изменению доходов бюджета городского округа вследствие принятия, изменения, прекращения действия документов стратегического планирования;</w:t>
            </w:r>
          </w:p>
          <w:p w:rsidR="00951EF6" w:rsidRPr="00951EF6" w:rsidRDefault="00951EF6" w:rsidP="00951EF6">
            <w:pPr>
              <w:ind w:right="-1" w:firstLine="0"/>
              <w:rPr>
                <w:sz w:val="22"/>
                <w:szCs w:val="22"/>
              </w:rPr>
            </w:pPr>
            <w:r w:rsidRPr="00951EF6">
              <w:rPr>
                <w:sz w:val="22"/>
                <w:szCs w:val="22"/>
              </w:rPr>
              <w:t>3) экспертизу муниципальных программ (проектов муниципальных программ);</w:t>
            </w:r>
          </w:p>
          <w:p w:rsidR="0018177D" w:rsidRPr="00F00AF8" w:rsidRDefault="00951EF6" w:rsidP="00951EF6">
            <w:pPr>
              <w:ind w:right="-1" w:firstLine="0"/>
              <w:rPr>
                <w:sz w:val="22"/>
                <w:szCs w:val="22"/>
              </w:rPr>
            </w:pPr>
            <w:r w:rsidRPr="00951EF6">
              <w:rPr>
                <w:sz w:val="22"/>
                <w:szCs w:val="22"/>
              </w:rPr>
              <w:t>4) оценку реализуемости, рисков и результатов достижения целей социально-экономического развития городского округа, предусмотренных документами стратегического планирования городского округа, в пределах компетенции контрольно-счетной палаты.</w:t>
            </w:r>
          </w:p>
        </w:tc>
      </w:tr>
      <w:tr w:rsidR="000C5425" w:rsidRPr="00F00AF8" w:rsidTr="00371951">
        <w:tc>
          <w:tcPr>
            <w:tcW w:w="9572" w:type="dxa"/>
            <w:gridSpan w:val="2"/>
          </w:tcPr>
          <w:p w:rsidR="000C5425" w:rsidRPr="000C5425" w:rsidRDefault="000C5425" w:rsidP="006C4B15">
            <w:pPr>
              <w:ind w:right="-1" w:firstLine="0"/>
              <w:jc w:val="center"/>
              <w:rPr>
                <w:b/>
                <w:sz w:val="22"/>
                <w:szCs w:val="22"/>
              </w:rPr>
            </w:pPr>
            <w:r w:rsidRPr="000C5425">
              <w:rPr>
                <w:b/>
                <w:sz w:val="22"/>
                <w:szCs w:val="22"/>
              </w:rPr>
              <w:lastRenderedPageBreak/>
              <w:t>Положение о системе управления социально-экономическим развитием городского округа Тольятти, утвержденное решением Думы городского округа Тольятти от 10.12.2014 № 546</w:t>
            </w:r>
            <w:r w:rsidR="006C4B15">
              <w:rPr>
                <w:b/>
                <w:sz w:val="22"/>
                <w:szCs w:val="22"/>
              </w:rPr>
              <w:t xml:space="preserve"> (в редакции </w:t>
            </w:r>
            <w:r w:rsidR="006C4B15" w:rsidRPr="006C4B15">
              <w:rPr>
                <w:b/>
                <w:sz w:val="22"/>
                <w:szCs w:val="22"/>
              </w:rPr>
              <w:t>от 18.10.2023 N 40)</w:t>
            </w:r>
          </w:p>
        </w:tc>
      </w:tr>
      <w:tr w:rsidR="00063735" w:rsidRPr="00F00AF8" w:rsidTr="00B826E7">
        <w:tc>
          <w:tcPr>
            <w:tcW w:w="4786" w:type="dxa"/>
          </w:tcPr>
          <w:p w:rsidR="00063735" w:rsidRDefault="00551A9E" w:rsidP="00D32BB6">
            <w:pPr>
              <w:tabs>
                <w:tab w:val="left" w:pos="2292"/>
              </w:tabs>
              <w:ind w:right="-1" w:firstLine="0"/>
              <w:rPr>
                <w:b/>
                <w:sz w:val="22"/>
                <w:szCs w:val="22"/>
              </w:rPr>
            </w:pPr>
            <w:r w:rsidRPr="00551A9E">
              <w:rPr>
                <w:b/>
                <w:sz w:val="22"/>
                <w:szCs w:val="22"/>
              </w:rPr>
              <w:t>в пункте 1 Положения</w:t>
            </w:r>
          </w:p>
          <w:p w:rsidR="00551A9E" w:rsidRPr="00F00AF8" w:rsidRDefault="00551A9E" w:rsidP="00551A9E">
            <w:pPr>
              <w:tabs>
                <w:tab w:val="left" w:pos="2292"/>
              </w:tabs>
              <w:ind w:right="-1" w:firstLine="0"/>
              <w:rPr>
                <w:b/>
                <w:sz w:val="22"/>
                <w:szCs w:val="22"/>
              </w:rPr>
            </w:pPr>
            <w:r>
              <w:rPr>
                <w:sz w:val="22"/>
                <w:szCs w:val="22"/>
              </w:rPr>
              <w:t>1.</w:t>
            </w:r>
            <w:r>
              <w:t xml:space="preserve"> </w:t>
            </w:r>
            <w:r w:rsidRPr="00551A9E">
              <w:rPr>
                <w:sz w:val="22"/>
                <w:szCs w:val="22"/>
              </w:rPr>
              <w:t xml:space="preserve">Положение о системе управления социально-экономическим развитием городского округа Тольятти (далее - Положение) разработано на основании Федерального закона от 28 июня 2014 года N 172-ФЗ "О стратегическом планировании в Российской Федерации", Федерального закона от 6 октября 2003 года N 131-ФЗ "Об общих принципах организации местного самоуправления в Российской Федерации", Бюджетного кодекса Российской Федерации, Градостроительного кодекса Российской Федерации, </w:t>
            </w:r>
            <w:r w:rsidRPr="00551A9E">
              <w:rPr>
                <w:b/>
                <w:i/>
                <w:sz w:val="22"/>
                <w:szCs w:val="22"/>
              </w:rPr>
              <w:t>Федерального закона от 30 декабря 2004 года N 210-ФЗ "Об основах регулирования тарифов организаций коммунального комплекса"</w:t>
            </w:r>
            <w:r w:rsidRPr="00551A9E">
              <w:rPr>
                <w:sz w:val="22"/>
                <w:szCs w:val="22"/>
              </w:rPr>
              <w:t xml:space="preserve"> и муниципальных правовых актов городского округа Тольятти.</w:t>
            </w:r>
            <w:r>
              <w:rPr>
                <w:sz w:val="22"/>
                <w:szCs w:val="22"/>
              </w:rPr>
              <w:t xml:space="preserve"> </w:t>
            </w:r>
          </w:p>
        </w:tc>
        <w:tc>
          <w:tcPr>
            <w:tcW w:w="4786" w:type="dxa"/>
          </w:tcPr>
          <w:p w:rsidR="002D03F1" w:rsidRDefault="002D03F1" w:rsidP="002D03F1">
            <w:pPr>
              <w:ind w:right="-1" w:firstLine="0"/>
              <w:rPr>
                <w:sz w:val="22"/>
                <w:szCs w:val="22"/>
              </w:rPr>
            </w:pPr>
          </w:p>
          <w:p w:rsidR="00551A9E" w:rsidRPr="00551A9E" w:rsidRDefault="00551A9E" w:rsidP="00551A9E">
            <w:pPr>
              <w:ind w:right="-1" w:firstLine="0"/>
              <w:rPr>
                <w:sz w:val="22"/>
                <w:szCs w:val="22"/>
              </w:rPr>
            </w:pPr>
            <w:r>
              <w:rPr>
                <w:sz w:val="22"/>
                <w:szCs w:val="22"/>
              </w:rPr>
              <w:t xml:space="preserve">1. </w:t>
            </w:r>
            <w:r w:rsidRPr="00551A9E">
              <w:rPr>
                <w:sz w:val="22"/>
                <w:szCs w:val="22"/>
              </w:rPr>
              <w:t xml:space="preserve">Положение о системе управления социально-экономическим развитием городского округа Тольятти (далее - Положение) разработано на основании Федерального закона от 28 июня 2014 года N 172-ФЗ "О стратегическом планировании в Российской Федерации", Федерального закона от 6 октября 2003 года N 131-ФЗ "Об общих принципах организации местного самоуправления в Российской Федерации", Бюджетного кодекса Российской Федерации, Градостроительного кодекса Российской Федерации, </w:t>
            </w:r>
            <w:r w:rsidRPr="00551A9E">
              <w:rPr>
                <w:b/>
                <w:sz w:val="22"/>
                <w:szCs w:val="22"/>
              </w:rPr>
              <w:t>федеральных законов, регулирующих отношения в сфере теплоснабжения, водоснабжения и водоотведения, обращения с отходами производства и потребления</w:t>
            </w:r>
            <w:r w:rsidRPr="00551A9E">
              <w:rPr>
                <w:sz w:val="22"/>
                <w:szCs w:val="22"/>
              </w:rPr>
              <w:t xml:space="preserve"> и муниципальных правовых актов городского округа Тольятти.</w:t>
            </w:r>
          </w:p>
          <w:p w:rsidR="00551A9E" w:rsidRPr="00F00AF8" w:rsidRDefault="00551A9E" w:rsidP="00551A9E">
            <w:pPr>
              <w:ind w:right="-1" w:firstLine="0"/>
              <w:rPr>
                <w:sz w:val="22"/>
                <w:szCs w:val="22"/>
              </w:rPr>
            </w:pPr>
          </w:p>
        </w:tc>
      </w:tr>
      <w:tr w:rsidR="002D03F1" w:rsidRPr="00F00AF8" w:rsidTr="00B826E7">
        <w:tc>
          <w:tcPr>
            <w:tcW w:w="4786" w:type="dxa"/>
          </w:tcPr>
          <w:p w:rsidR="002D03F1" w:rsidRPr="00551A9E" w:rsidRDefault="00551A9E" w:rsidP="00D32BB6">
            <w:pPr>
              <w:tabs>
                <w:tab w:val="left" w:pos="2292"/>
              </w:tabs>
              <w:ind w:right="-1" w:firstLine="0"/>
              <w:rPr>
                <w:b/>
                <w:sz w:val="22"/>
                <w:szCs w:val="22"/>
              </w:rPr>
            </w:pPr>
            <w:r w:rsidRPr="00551A9E">
              <w:rPr>
                <w:b/>
                <w:sz w:val="22"/>
                <w:szCs w:val="22"/>
              </w:rPr>
              <w:t>дополнить главу 4 Положения пунктом 13.1</w:t>
            </w:r>
          </w:p>
          <w:p w:rsidR="00551A9E" w:rsidRPr="00F00AF8" w:rsidRDefault="00551A9E" w:rsidP="00D32BB6">
            <w:pPr>
              <w:tabs>
                <w:tab w:val="left" w:pos="2292"/>
              </w:tabs>
              <w:ind w:right="-1" w:firstLine="0"/>
              <w:rPr>
                <w:sz w:val="22"/>
                <w:szCs w:val="22"/>
              </w:rPr>
            </w:pPr>
          </w:p>
        </w:tc>
        <w:tc>
          <w:tcPr>
            <w:tcW w:w="4786" w:type="dxa"/>
          </w:tcPr>
          <w:p w:rsidR="009E7B10" w:rsidRDefault="009E7B10" w:rsidP="009E7B10">
            <w:pPr>
              <w:ind w:right="-1" w:firstLine="0"/>
              <w:rPr>
                <w:sz w:val="22"/>
                <w:szCs w:val="22"/>
              </w:rPr>
            </w:pPr>
          </w:p>
          <w:p w:rsidR="00551A9E" w:rsidRPr="00F00AF8" w:rsidRDefault="00551A9E" w:rsidP="009E7B10">
            <w:pPr>
              <w:ind w:right="-1" w:firstLine="0"/>
              <w:rPr>
                <w:sz w:val="22"/>
                <w:szCs w:val="22"/>
              </w:rPr>
            </w:pPr>
            <w:r w:rsidRPr="00551A9E">
              <w:rPr>
                <w:sz w:val="22"/>
                <w:szCs w:val="22"/>
              </w:rPr>
              <w:t>13.1. Контрольно-счетная палата городского округа Тольятти осуществляет полномочия, предусмотренные пунктом 13.1 Положения о стратегическом планировании социально-экономического развития городского округа Тольятти, утвержденного решением Думы городского округа Тольятти от 10.12.2014 № 545 «Об организации стратегического планирования социально-экономического развития городского округа Тольятти.»</w:t>
            </w:r>
          </w:p>
        </w:tc>
      </w:tr>
      <w:tr w:rsidR="00B95F97" w:rsidRPr="00F00AF8" w:rsidTr="00B826E7">
        <w:tc>
          <w:tcPr>
            <w:tcW w:w="4786" w:type="dxa"/>
          </w:tcPr>
          <w:p w:rsidR="00B95F97" w:rsidRDefault="00551A9E" w:rsidP="00B826E7">
            <w:pPr>
              <w:tabs>
                <w:tab w:val="left" w:pos="2292"/>
              </w:tabs>
              <w:ind w:right="-1" w:firstLine="0"/>
              <w:rPr>
                <w:b/>
                <w:sz w:val="22"/>
                <w:szCs w:val="22"/>
              </w:rPr>
            </w:pPr>
            <w:r w:rsidRPr="00551A9E">
              <w:rPr>
                <w:b/>
                <w:sz w:val="22"/>
                <w:szCs w:val="22"/>
              </w:rPr>
              <w:t>подпункт 4) пункта 22 Положения исключить</w:t>
            </w:r>
          </w:p>
          <w:p w:rsidR="00551A9E" w:rsidRPr="00551A9E" w:rsidRDefault="00551A9E" w:rsidP="00B826E7">
            <w:pPr>
              <w:tabs>
                <w:tab w:val="left" w:pos="2292"/>
              </w:tabs>
              <w:ind w:right="-1" w:firstLine="0"/>
              <w:rPr>
                <w:b/>
                <w:i/>
                <w:sz w:val="22"/>
                <w:szCs w:val="22"/>
              </w:rPr>
            </w:pPr>
            <w:r w:rsidRPr="00551A9E">
              <w:rPr>
                <w:b/>
                <w:i/>
                <w:sz w:val="22"/>
                <w:szCs w:val="22"/>
              </w:rPr>
              <w:t>4) ведомственные целевые программы городского округа;</w:t>
            </w:r>
          </w:p>
        </w:tc>
        <w:tc>
          <w:tcPr>
            <w:tcW w:w="4786" w:type="dxa"/>
          </w:tcPr>
          <w:p w:rsidR="000A581E" w:rsidRPr="00F00AF8" w:rsidRDefault="000A581E" w:rsidP="00D47616">
            <w:pPr>
              <w:ind w:right="-1" w:firstLine="0"/>
              <w:rPr>
                <w:sz w:val="22"/>
                <w:szCs w:val="22"/>
              </w:rPr>
            </w:pPr>
          </w:p>
        </w:tc>
      </w:tr>
      <w:tr w:rsidR="00551A9E" w:rsidRPr="00F00AF8" w:rsidTr="00B826E7">
        <w:tc>
          <w:tcPr>
            <w:tcW w:w="4786" w:type="dxa"/>
          </w:tcPr>
          <w:p w:rsidR="00551A9E" w:rsidRDefault="00551A9E" w:rsidP="00B826E7">
            <w:pPr>
              <w:tabs>
                <w:tab w:val="left" w:pos="2292"/>
              </w:tabs>
              <w:ind w:right="-1" w:firstLine="0"/>
              <w:rPr>
                <w:b/>
                <w:sz w:val="22"/>
                <w:szCs w:val="22"/>
              </w:rPr>
            </w:pPr>
            <w:r w:rsidRPr="00551A9E">
              <w:rPr>
                <w:b/>
                <w:sz w:val="22"/>
                <w:szCs w:val="22"/>
              </w:rPr>
              <w:t>подпункт 4) пункта 25 Положения исключить</w:t>
            </w:r>
          </w:p>
          <w:p w:rsidR="00551A9E" w:rsidRPr="00551A9E" w:rsidRDefault="00551A9E" w:rsidP="00B826E7">
            <w:pPr>
              <w:tabs>
                <w:tab w:val="left" w:pos="2292"/>
              </w:tabs>
              <w:ind w:right="-1" w:firstLine="0"/>
              <w:rPr>
                <w:b/>
                <w:i/>
                <w:sz w:val="22"/>
                <w:szCs w:val="22"/>
              </w:rPr>
            </w:pPr>
            <w:r w:rsidRPr="00551A9E">
              <w:rPr>
                <w:b/>
                <w:i/>
                <w:sz w:val="22"/>
                <w:szCs w:val="22"/>
              </w:rPr>
              <w:t>4) сводный план муниципального заказа на очередной финансовый год;</w:t>
            </w:r>
          </w:p>
        </w:tc>
        <w:tc>
          <w:tcPr>
            <w:tcW w:w="4786" w:type="dxa"/>
          </w:tcPr>
          <w:p w:rsidR="00551A9E" w:rsidRPr="00F00AF8" w:rsidRDefault="00551A9E" w:rsidP="00D47616">
            <w:pPr>
              <w:ind w:right="-1" w:firstLine="0"/>
              <w:rPr>
                <w:sz w:val="22"/>
                <w:szCs w:val="22"/>
              </w:rPr>
            </w:pPr>
          </w:p>
        </w:tc>
      </w:tr>
      <w:tr w:rsidR="00551A9E" w:rsidRPr="00F00AF8" w:rsidTr="00EE7ACB">
        <w:tc>
          <w:tcPr>
            <w:tcW w:w="9572" w:type="dxa"/>
            <w:gridSpan w:val="2"/>
          </w:tcPr>
          <w:p w:rsidR="00551A9E" w:rsidRPr="00551A9E" w:rsidRDefault="00551A9E" w:rsidP="00551A9E">
            <w:pPr>
              <w:ind w:right="-1" w:firstLine="0"/>
              <w:jc w:val="center"/>
              <w:rPr>
                <w:b/>
                <w:sz w:val="22"/>
                <w:szCs w:val="22"/>
              </w:rPr>
            </w:pPr>
            <w:r w:rsidRPr="00551A9E">
              <w:rPr>
                <w:b/>
                <w:sz w:val="22"/>
                <w:szCs w:val="22"/>
              </w:rPr>
              <w:t xml:space="preserve">В приложении к Положению «Порядок комплексного планирования задач и ресурсов </w:t>
            </w:r>
            <w:r w:rsidRPr="00551A9E">
              <w:rPr>
                <w:b/>
                <w:sz w:val="22"/>
                <w:szCs w:val="22"/>
              </w:rPr>
              <w:lastRenderedPageBreak/>
              <w:t>социально-экономического, территориального и инфраструктурного развития городского округа Тольятти»</w:t>
            </w:r>
          </w:p>
        </w:tc>
      </w:tr>
      <w:tr w:rsidR="00F00AF8" w:rsidRPr="00F00AF8" w:rsidTr="00B826E7">
        <w:tc>
          <w:tcPr>
            <w:tcW w:w="4786" w:type="dxa"/>
          </w:tcPr>
          <w:p w:rsidR="00F00AF8" w:rsidRDefault="00551A9E" w:rsidP="005D4074">
            <w:pPr>
              <w:tabs>
                <w:tab w:val="left" w:pos="2292"/>
              </w:tabs>
              <w:ind w:right="-1" w:firstLine="0"/>
              <w:rPr>
                <w:b/>
                <w:sz w:val="22"/>
                <w:szCs w:val="22"/>
              </w:rPr>
            </w:pPr>
            <w:r w:rsidRPr="00551A9E">
              <w:rPr>
                <w:b/>
                <w:sz w:val="22"/>
                <w:szCs w:val="22"/>
              </w:rPr>
              <w:lastRenderedPageBreak/>
              <w:t>в абзаце втором пункта 8 Порядка</w:t>
            </w:r>
          </w:p>
          <w:p w:rsidR="00551A9E" w:rsidRPr="006E06F6" w:rsidRDefault="006E06F6" w:rsidP="005D4074">
            <w:pPr>
              <w:tabs>
                <w:tab w:val="left" w:pos="2292"/>
              </w:tabs>
              <w:ind w:right="-1" w:firstLine="0"/>
              <w:rPr>
                <w:sz w:val="22"/>
                <w:szCs w:val="22"/>
              </w:rPr>
            </w:pPr>
            <w:r w:rsidRPr="006E06F6">
              <w:rPr>
                <w:sz w:val="22"/>
                <w:szCs w:val="22"/>
              </w:rPr>
              <w:t xml:space="preserve">В рамках социально-экономического планирования Стратегия создает правовую, методологическую и информационную основы для разработки прогноза социально-экономического развития городского округа, Плана мероприятий, муниципальных программ </w:t>
            </w:r>
            <w:r w:rsidRPr="006E06F6">
              <w:rPr>
                <w:b/>
                <w:i/>
                <w:sz w:val="22"/>
                <w:szCs w:val="22"/>
              </w:rPr>
              <w:t>и ведомственных целевых программ</w:t>
            </w:r>
            <w:r w:rsidRPr="006E06F6">
              <w:rPr>
                <w:sz w:val="22"/>
                <w:szCs w:val="22"/>
              </w:rPr>
              <w:t xml:space="preserve"> городского округа.</w:t>
            </w:r>
          </w:p>
          <w:p w:rsidR="00551A9E" w:rsidRDefault="00551A9E" w:rsidP="005D4074">
            <w:pPr>
              <w:tabs>
                <w:tab w:val="left" w:pos="2292"/>
              </w:tabs>
              <w:ind w:right="-1" w:firstLine="0"/>
              <w:rPr>
                <w:b/>
                <w:sz w:val="22"/>
                <w:szCs w:val="22"/>
              </w:rPr>
            </w:pPr>
          </w:p>
        </w:tc>
        <w:tc>
          <w:tcPr>
            <w:tcW w:w="4786" w:type="dxa"/>
          </w:tcPr>
          <w:p w:rsidR="005D4074" w:rsidRDefault="005D4074" w:rsidP="005D4074">
            <w:pPr>
              <w:ind w:right="-1" w:firstLine="0"/>
              <w:rPr>
                <w:sz w:val="22"/>
                <w:szCs w:val="22"/>
              </w:rPr>
            </w:pPr>
          </w:p>
          <w:p w:rsidR="006E06F6" w:rsidRDefault="006E06F6" w:rsidP="006E06F6">
            <w:pPr>
              <w:ind w:right="-1" w:firstLine="0"/>
              <w:rPr>
                <w:sz w:val="22"/>
                <w:szCs w:val="22"/>
              </w:rPr>
            </w:pPr>
            <w:r w:rsidRPr="006E06F6">
              <w:rPr>
                <w:sz w:val="22"/>
                <w:szCs w:val="22"/>
              </w:rPr>
              <w:t>В рамках социально-экономического планирования Стратегия создает правовую, методологическую и информационную основы для разработки прогноза социально-экономического развития городского округа, Плана мероприятий, муниципальных программ городского округа.</w:t>
            </w:r>
          </w:p>
        </w:tc>
      </w:tr>
      <w:tr w:rsidR="005D4074" w:rsidRPr="00F00AF8" w:rsidTr="00B826E7">
        <w:tc>
          <w:tcPr>
            <w:tcW w:w="4786" w:type="dxa"/>
          </w:tcPr>
          <w:p w:rsidR="005D4074" w:rsidRPr="006E06F6" w:rsidRDefault="006E06F6" w:rsidP="00D32BB6">
            <w:pPr>
              <w:tabs>
                <w:tab w:val="left" w:pos="2292"/>
              </w:tabs>
              <w:ind w:right="-1" w:firstLine="0"/>
              <w:rPr>
                <w:b/>
                <w:sz w:val="22"/>
                <w:szCs w:val="22"/>
              </w:rPr>
            </w:pPr>
            <w:r w:rsidRPr="006E06F6">
              <w:rPr>
                <w:b/>
                <w:sz w:val="22"/>
                <w:szCs w:val="22"/>
              </w:rPr>
              <w:t>в абзаце восьмом пункта 8</w:t>
            </w:r>
            <w:r>
              <w:rPr>
                <w:b/>
                <w:sz w:val="22"/>
                <w:szCs w:val="22"/>
              </w:rPr>
              <w:t xml:space="preserve"> Порядка</w:t>
            </w:r>
          </w:p>
          <w:p w:rsidR="006E06F6" w:rsidRPr="00296153" w:rsidRDefault="006E06F6" w:rsidP="00D32BB6">
            <w:pPr>
              <w:tabs>
                <w:tab w:val="left" w:pos="2292"/>
              </w:tabs>
              <w:ind w:right="-1" w:firstLine="0"/>
              <w:rPr>
                <w:sz w:val="22"/>
                <w:szCs w:val="22"/>
              </w:rPr>
            </w:pPr>
            <w:r w:rsidRPr="006E06F6">
              <w:rPr>
                <w:sz w:val="22"/>
                <w:szCs w:val="22"/>
              </w:rPr>
              <w:t xml:space="preserve">Стратегическими целями третьего уровня являются целевые задачи, решением которых обеспечивается достижение целей второго уровня. Стратегические цели третьего уровня формулируются путем структурной декомпозиции целей второго уровня. Стратегические цели третьего уровня берутся субъектами планирования за основу при разработке муниципальных </w:t>
            </w:r>
            <w:r w:rsidRPr="006E06F6">
              <w:rPr>
                <w:b/>
                <w:i/>
                <w:sz w:val="22"/>
                <w:szCs w:val="22"/>
              </w:rPr>
              <w:t>и ведомственных целевых</w:t>
            </w:r>
            <w:r w:rsidRPr="006E06F6">
              <w:rPr>
                <w:sz w:val="22"/>
                <w:szCs w:val="22"/>
              </w:rPr>
              <w:t xml:space="preserve"> программ.</w:t>
            </w:r>
          </w:p>
        </w:tc>
        <w:tc>
          <w:tcPr>
            <w:tcW w:w="4786" w:type="dxa"/>
          </w:tcPr>
          <w:p w:rsidR="00296153" w:rsidRDefault="00296153" w:rsidP="00296153">
            <w:pPr>
              <w:ind w:right="-1" w:firstLine="0"/>
              <w:rPr>
                <w:sz w:val="22"/>
                <w:szCs w:val="22"/>
              </w:rPr>
            </w:pPr>
          </w:p>
          <w:p w:rsidR="006E06F6" w:rsidRDefault="006E06F6" w:rsidP="006E06F6">
            <w:pPr>
              <w:ind w:right="-1" w:firstLine="0"/>
              <w:rPr>
                <w:sz w:val="22"/>
                <w:szCs w:val="22"/>
              </w:rPr>
            </w:pPr>
            <w:r w:rsidRPr="006E06F6">
              <w:rPr>
                <w:sz w:val="22"/>
                <w:szCs w:val="22"/>
              </w:rPr>
              <w:t>Стратегическими целями третьего уровня являются целевые задачи, решением которых обеспечивается достижение целей второго уровня. Стратегические цели третьего уровня формулируются путем структурной декомпозиции целей второго уровня. Стратегические цели третьего уровня берутся субъектами планирования за основу при разработке муниципальных программ.</w:t>
            </w:r>
          </w:p>
        </w:tc>
      </w:tr>
      <w:tr w:rsidR="006E06F6" w:rsidRPr="00F00AF8" w:rsidTr="00B826E7">
        <w:tc>
          <w:tcPr>
            <w:tcW w:w="4786" w:type="dxa"/>
          </w:tcPr>
          <w:p w:rsidR="006E06F6" w:rsidRDefault="006E06F6" w:rsidP="00D32BB6">
            <w:pPr>
              <w:tabs>
                <w:tab w:val="left" w:pos="2292"/>
              </w:tabs>
              <w:ind w:right="-1" w:firstLine="0"/>
              <w:rPr>
                <w:b/>
                <w:sz w:val="22"/>
                <w:szCs w:val="22"/>
              </w:rPr>
            </w:pPr>
            <w:r w:rsidRPr="006E06F6">
              <w:rPr>
                <w:b/>
                <w:sz w:val="22"/>
                <w:szCs w:val="22"/>
              </w:rPr>
              <w:t>в пункте 9 Порядка</w:t>
            </w:r>
          </w:p>
          <w:p w:rsidR="006E06F6" w:rsidRPr="006E06F6" w:rsidRDefault="006E06F6" w:rsidP="00D32BB6">
            <w:pPr>
              <w:tabs>
                <w:tab w:val="left" w:pos="2292"/>
              </w:tabs>
              <w:ind w:right="-1" w:firstLine="0"/>
              <w:rPr>
                <w:sz w:val="22"/>
                <w:szCs w:val="22"/>
              </w:rPr>
            </w:pPr>
            <w:r w:rsidRPr="006E06F6">
              <w:rPr>
                <w:sz w:val="22"/>
                <w:szCs w:val="22"/>
              </w:rPr>
              <w:t xml:space="preserve">9. Прогноз социально-экономического развития городского округа на среднесрочный период ежегодно формируется администрацией на очередной финансовый год и плановый период двух последующих лет и подлежит учету при формировании муниципальных программ, </w:t>
            </w:r>
            <w:r w:rsidRPr="006E06F6">
              <w:rPr>
                <w:b/>
                <w:i/>
                <w:sz w:val="22"/>
                <w:szCs w:val="22"/>
              </w:rPr>
              <w:t>ведомственных целевых программ</w:t>
            </w:r>
            <w:r w:rsidRPr="006E06F6">
              <w:rPr>
                <w:sz w:val="22"/>
                <w:szCs w:val="22"/>
              </w:rPr>
              <w:t>, Плана мероприятий и иных документов планирования в качестве источника информации о предполагаемой динамике социально-экономических параметров внутренней и внешней среды городского округа в течение прогнозного периода.</w:t>
            </w:r>
          </w:p>
        </w:tc>
        <w:tc>
          <w:tcPr>
            <w:tcW w:w="4786" w:type="dxa"/>
          </w:tcPr>
          <w:p w:rsidR="006E06F6" w:rsidRDefault="006E06F6" w:rsidP="00296153">
            <w:pPr>
              <w:ind w:right="-1" w:firstLine="0"/>
              <w:rPr>
                <w:sz w:val="22"/>
                <w:szCs w:val="22"/>
              </w:rPr>
            </w:pPr>
          </w:p>
          <w:p w:rsidR="006E06F6" w:rsidRDefault="006E06F6" w:rsidP="006E06F6">
            <w:pPr>
              <w:ind w:right="-1" w:firstLine="0"/>
              <w:rPr>
                <w:sz w:val="22"/>
                <w:szCs w:val="22"/>
              </w:rPr>
            </w:pPr>
            <w:r w:rsidRPr="006E06F6">
              <w:rPr>
                <w:sz w:val="22"/>
                <w:szCs w:val="22"/>
              </w:rPr>
              <w:t>9. Прогноз социально-экономического развития городского округа на среднесрочный период ежегодно формируется администрацией на очередной финансовый год и плановый период двух последующих лет и подлежит учету при формировании муниципальных программ,  Плана мероприятий и иных документов планирования в качестве источника информации о предполагаемой динамике социально-экономических параметров внутренней и внешней среды городского округа в течение прогнозного периода.</w:t>
            </w:r>
          </w:p>
        </w:tc>
      </w:tr>
      <w:tr w:rsidR="00BA1B3E" w:rsidRPr="00F00AF8" w:rsidTr="00B826E7">
        <w:tc>
          <w:tcPr>
            <w:tcW w:w="4786" w:type="dxa"/>
          </w:tcPr>
          <w:p w:rsidR="00BA1B3E" w:rsidRPr="006E06F6" w:rsidRDefault="006E06F6" w:rsidP="00D32BB6">
            <w:pPr>
              <w:tabs>
                <w:tab w:val="left" w:pos="2292"/>
              </w:tabs>
              <w:ind w:right="-1" w:firstLine="0"/>
              <w:rPr>
                <w:b/>
                <w:sz w:val="22"/>
                <w:szCs w:val="22"/>
              </w:rPr>
            </w:pPr>
            <w:r w:rsidRPr="006E06F6">
              <w:rPr>
                <w:b/>
                <w:sz w:val="22"/>
                <w:szCs w:val="22"/>
              </w:rPr>
              <w:t>в абзаце первом пункта 11 Порядка</w:t>
            </w:r>
          </w:p>
          <w:p w:rsidR="006E06F6" w:rsidRPr="003C5D5E" w:rsidRDefault="006E06F6" w:rsidP="00D32BB6">
            <w:pPr>
              <w:tabs>
                <w:tab w:val="left" w:pos="2292"/>
              </w:tabs>
              <w:ind w:right="-1" w:firstLine="0"/>
              <w:rPr>
                <w:sz w:val="22"/>
                <w:szCs w:val="22"/>
              </w:rPr>
            </w:pPr>
            <w:r w:rsidRPr="006E06F6">
              <w:rPr>
                <w:sz w:val="22"/>
                <w:szCs w:val="22"/>
              </w:rPr>
              <w:t xml:space="preserve">11. Формирование муниципальных программ </w:t>
            </w:r>
            <w:r w:rsidRPr="006E06F6">
              <w:rPr>
                <w:b/>
                <w:i/>
                <w:sz w:val="22"/>
                <w:szCs w:val="22"/>
              </w:rPr>
              <w:t>и ведомственных целевых программ</w:t>
            </w:r>
            <w:r w:rsidRPr="006E06F6">
              <w:rPr>
                <w:sz w:val="22"/>
                <w:szCs w:val="22"/>
              </w:rPr>
              <w:t xml:space="preserve"> осуществляется на основе целей третьего уровня (стратегических задач) Стратегии путем принятия каждой из стратегических задач в качестве цели муниципальной программы </w:t>
            </w:r>
            <w:r w:rsidRPr="006E06F6">
              <w:rPr>
                <w:b/>
                <w:i/>
                <w:sz w:val="22"/>
                <w:szCs w:val="22"/>
              </w:rPr>
              <w:t>(ведомственной целевой программы)</w:t>
            </w:r>
            <w:r w:rsidRPr="006E06F6">
              <w:rPr>
                <w:sz w:val="22"/>
                <w:szCs w:val="22"/>
              </w:rPr>
              <w:t xml:space="preserve"> либо путем структурной декомпозиции стратегической задачи на две и более составляющие, каждая из которых становится целью конкретной муниципальной программы </w:t>
            </w:r>
            <w:r w:rsidRPr="006E06F6">
              <w:rPr>
                <w:b/>
                <w:i/>
                <w:sz w:val="22"/>
                <w:szCs w:val="22"/>
              </w:rPr>
              <w:t>или ведомственной целевой программы</w:t>
            </w:r>
            <w:r w:rsidRPr="006E06F6">
              <w:rPr>
                <w:sz w:val="22"/>
                <w:szCs w:val="22"/>
              </w:rPr>
              <w:t>.</w:t>
            </w:r>
          </w:p>
        </w:tc>
        <w:tc>
          <w:tcPr>
            <w:tcW w:w="4786" w:type="dxa"/>
          </w:tcPr>
          <w:p w:rsidR="003C5D5E" w:rsidRDefault="003C5D5E" w:rsidP="003C5D5E">
            <w:pPr>
              <w:ind w:right="-1" w:firstLine="0"/>
              <w:rPr>
                <w:sz w:val="22"/>
                <w:szCs w:val="22"/>
              </w:rPr>
            </w:pPr>
          </w:p>
          <w:p w:rsidR="006E06F6" w:rsidRDefault="006E06F6" w:rsidP="006E06F6">
            <w:pPr>
              <w:ind w:right="-1" w:firstLine="0"/>
              <w:rPr>
                <w:sz w:val="22"/>
                <w:szCs w:val="22"/>
              </w:rPr>
            </w:pPr>
            <w:r w:rsidRPr="006E06F6">
              <w:rPr>
                <w:sz w:val="22"/>
                <w:szCs w:val="22"/>
              </w:rPr>
              <w:t>11. Формирование муниципальных программ осуществляется на основе целей третьего уровня (стратегических задач) Стратегии путем принятия каждой из стратегических задач в качестве цели муниципальной программы</w:t>
            </w:r>
            <w:r>
              <w:rPr>
                <w:sz w:val="22"/>
                <w:szCs w:val="22"/>
              </w:rPr>
              <w:t>,</w:t>
            </w:r>
            <w:r w:rsidRPr="006E06F6">
              <w:rPr>
                <w:sz w:val="22"/>
                <w:szCs w:val="22"/>
              </w:rPr>
              <w:t xml:space="preserve"> либо путем структурной декомпозиции стратегической задачи на две и более составляющие, каждая из которых становится целью конкретной муниципальной программы.</w:t>
            </w:r>
          </w:p>
        </w:tc>
      </w:tr>
      <w:tr w:rsidR="00A01EE4" w:rsidRPr="00F00AF8" w:rsidTr="00B826E7">
        <w:tc>
          <w:tcPr>
            <w:tcW w:w="4786" w:type="dxa"/>
          </w:tcPr>
          <w:p w:rsidR="00A01EE4" w:rsidRDefault="00A01EE4" w:rsidP="00D32BB6">
            <w:pPr>
              <w:tabs>
                <w:tab w:val="left" w:pos="2292"/>
              </w:tabs>
              <w:ind w:right="-1" w:firstLine="0"/>
              <w:rPr>
                <w:b/>
                <w:sz w:val="22"/>
                <w:szCs w:val="22"/>
              </w:rPr>
            </w:pPr>
            <w:r w:rsidRPr="00A01EE4">
              <w:rPr>
                <w:b/>
                <w:sz w:val="22"/>
                <w:szCs w:val="22"/>
              </w:rPr>
              <w:t>в абзаце пятом пункта 11 Порядка</w:t>
            </w:r>
          </w:p>
          <w:p w:rsidR="00A01EE4" w:rsidRPr="00A01EE4" w:rsidRDefault="00A01EE4" w:rsidP="00D32BB6">
            <w:pPr>
              <w:tabs>
                <w:tab w:val="left" w:pos="2292"/>
              </w:tabs>
              <w:ind w:right="-1" w:firstLine="0"/>
              <w:rPr>
                <w:sz w:val="22"/>
                <w:szCs w:val="22"/>
              </w:rPr>
            </w:pPr>
            <w:r w:rsidRPr="00A01EE4">
              <w:rPr>
                <w:sz w:val="22"/>
                <w:szCs w:val="22"/>
              </w:rPr>
              <w:t xml:space="preserve">Порядок разработки, утверждения, реализации и оценки эффективности муниципальных программ </w:t>
            </w:r>
            <w:r w:rsidRPr="00A01EE4">
              <w:rPr>
                <w:b/>
                <w:i/>
                <w:sz w:val="22"/>
                <w:szCs w:val="22"/>
              </w:rPr>
              <w:t>и ведомственных целевых программ</w:t>
            </w:r>
            <w:r w:rsidRPr="00A01EE4">
              <w:rPr>
                <w:sz w:val="22"/>
                <w:szCs w:val="22"/>
              </w:rPr>
              <w:t xml:space="preserve">, в том числе участие хозяйствующих субъектов, определяется администрацией с </w:t>
            </w:r>
            <w:r w:rsidRPr="00A01EE4">
              <w:rPr>
                <w:sz w:val="22"/>
                <w:szCs w:val="22"/>
              </w:rPr>
              <w:lastRenderedPageBreak/>
              <w:t>учетом Методических рекомендаций по составлению и исполнению бюджетов субъектов Российской Федерации и местных бюджетов на основе государственных (муниципальных) программ, доведенных до сведений органов местного самоуправления Письмом Министерства финансов Российской Федерации от 30 сентября 2014 года N 09-05-05/48843.</w:t>
            </w:r>
          </w:p>
        </w:tc>
        <w:tc>
          <w:tcPr>
            <w:tcW w:w="4786" w:type="dxa"/>
          </w:tcPr>
          <w:p w:rsidR="00A01EE4" w:rsidRDefault="00A01EE4" w:rsidP="003C5D5E">
            <w:pPr>
              <w:ind w:right="-1" w:firstLine="0"/>
              <w:rPr>
                <w:sz w:val="22"/>
                <w:szCs w:val="22"/>
              </w:rPr>
            </w:pPr>
          </w:p>
          <w:p w:rsidR="00A01EE4" w:rsidRDefault="00A01EE4" w:rsidP="00A01EE4">
            <w:pPr>
              <w:ind w:right="-1" w:firstLine="0"/>
              <w:rPr>
                <w:sz w:val="22"/>
                <w:szCs w:val="22"/>
              </w:rPr>
            </w:pPr>
            <w:r w:rsidRPr="00A01EE4">
              <w:rPr>
                <w:sz w:val="22"/>
                <w:szCs w:val="22"/>
              </w:rPr>
              <w:t xml:space="preserve">Порядок разработки, утверждения, реализации и оценки эффективности муниципальных программ, в том числе участие хозяйствующих субъектов, определяется администрацией с учетом Методических рекомендаций по </w:t>
            </w:r>
            <w:r w:rsidRPr="00A01EE4">
              <w:rPr>
                <w:sz w:val="22"/>
                <w:szCs w:val="22"/>
              </w:rPr>
              <w:lastRenderedPageBreak/>
              <w:t>составлению и исполнению бюджетов субъектов Российской Федерации и местных бюджетов на основе государственных (муниципальных) программ, доведенных до сведений органов местного самоуправления Письмом Министерства финансов Российской Федерации от 30 сентября 2014 года N 09-05-05/48843.</w:t>
            </w:r>
          </w:p>
        </w:tc>
      </w:tr>
      <w:tr w:rsidR="00A01EE4" w:rsidRPr="00F00AF8" w:rsidTr="00B826E7">
        <w:tc>
          <w:tcPr>
            <w:tcW w:w="4786" w:type="dxa"/>
          </w:tcPr>
          <w:p w:rsidR="00A01EE4" w:rsidRDefault="00A01EE4" w:rsidP="00D32BB6">
            <w:pPr>
              <w:tabs>
                <w:tab w:val="left" w:pos="2292"/>
              </w:tabs>
              <w:ind w:right="-1" w:firstLine="0"/>
              <w:rPr>
                <w:b/>
                <w:sz w:val="22"/>
                <w:szCs w:val="22"/>
              </w:rPr>
            </w:pPr>
            <w:r w:rsidRPr="00A01EE4">
              <w:rPr>
                <w:b/>
                <w:sz w:val="22"/>
                <w:szCs w:val="22"/>
              </w:rPr>
              <w:lastRenderedPageBreak/>
              <w:t>в подпункте 3) пункта 16 Порядка</w:t>
            </w:r>
          </w:p>
          <w:p w:rsidR="00A01EE4" w:rsidRPr="00A01EE4" w:rsidRDefault="00A01EE4" w:rsidP="00D32BB6">
            <w:pPr>
              <w:tabs>
                <w:tab w:val="left" w:pos="2292"/>
              </w:tabs>
              <w:ind w:right="-1" w:firstLine="0"/>
              <w:rPr>
                <w:sz w:val="22"/>
                <w:szCs w:val="22"/>
              </w:rPr>
            </w:pPr>
            <w:r w:rsidRPr="00A01EE4">
              <w:rPr>
                <w:sz w:val="22"/>
                <w:szCs w:val="22"/>
              </w:rPr>
              <w:t xml:space="preserve">3) параметры обязательств по решению задач развития инфраструктуры городского округа, в том числе объемы их ресурсного обеспечения, планируются в муниципальных </w:t>
            </w:r>
            <w:r w:rsidRPr="00A01EE4">
              <w:rPr>
                <w:b/>
                <w:i/>
                <w:sz w:val="22"/>
                <w:szCs w:val="22"/>
              </w:rPr>
              <w:t xml:space="preserve">и ведомственных целевых </w:t>
            </w:r>
            <w:r w:rsidRPr="00A01EE4">
              <w:rPr>
                <w:sz w:val="22"/>
                <w:szCs w:val="22"/>
              </w:rPr>
              <w:t>программах, инвестиционных проектах, финансируемых за счет средств бюджета городского округа.</w:t>
            </w:r>
          </w:p>
        </w:tc>
        <w:tc>
          <w:tcPr>
            <w:tcW w:w="4786" w:type="dxa"/>
          </w:tcPr>
          <w:p w:rsidR="00A01EE4" w:rsidRDefault="00A01EE4" w:rsidP="003C5D5E">
            <w:pPr>
              <w:ind w:right="-1" w:firstLine="0"/>
              <w:rPr>
                <w:sz w:val="22"/>
                <w:szCs w:val="22"/>
              </w:rPr>
            </w:pPr>
          </w:p>
          <w:p w:rsidR="00A01EE4" w:rsidRDefault="00A01EE4" w:rsidP="00A01EE4">
            <w:pPr>
              <w:ind w:right="-1" w:firstLine="0"/>
              <w:rPr>
                <w:sz w:val="22"/>
                <w:szCs w:val="22"/>
              </w:rPr>
            </w:pPr>
            <w:r w:rsidRPr="00A01EE4">
              <w:rPr>
                <w:sz w:val="22"/>
                <w:szCs w:val="22"/>
              </w:rPr>
              <w:t>3) параметры обязательств по решению задач развития инфраструктуры городского округа, в том числе объемы их ресурсного обеспечения, планируются в муниципальных программах, инвестиционных проектах, финансируемых за счет средств бюджета городского округа.</w:t>
            </w:r>
          </w:p>
        </w:tc>
      </w:tr>
      <w:tr w:rsidR="00365C8D" w:rsidRPr="00F00AF8" w:rsidTr="00B826E7">
        <w:tc>
          <w:tcPr>
            <w:tcW w:w="4786" w:type="dxa"/>
          </w:tcPr>
          <w:p w:rsidR="00365C8D" w:rsidRDefault="00365C8D" w:rsidP="00D32BB6">
            <w:pPr>
              <w:tabs>
                <w:tab w:val="left" w:pos="2292"/>
              </w:tabs>
              <w:ind w:right="-1" w:firstLine="0"/>
              <w:rPr>
                <w:b/>
                <w:sz w:val="22"/>
                <w:szCs w:val="22"/>
              </w:rPr>
            </w:pPr>
            <w:r w:rsidRPr="00365C8D">
              <w:rPr>
                <w:b/>
                <w:sz w:val="22"/>
                <w:szCs w:val="22"/>
              </w:rPr>
              <w:t>подпункт 8) пункта 19 Порядка</w:t>
            </w:r>
            <w:r w:rsidR="005970CF">
              <w:rPr>
                <w:b/>
                <w:sz w:val="22"/>
                <w:szCs w:val="22"/>
              </w:rPr>
              <w:t xml:space="preserve"> исключить</w:t>
            </w:r>
          </w:p>
          <w:p w:rsidR="00365C8D" w:rsidRPr="005970CF" w:rsidRDefault="00365C8D" w:rsidP="00D32BB6">
            <w:pPr>
              <w:tabs>
                <w:tab w:val="left" w:pos="2292"/>
              </w:tabs>
              <w:ind w:right="-1" w:firstLine="0"/>
              <w:rPr>
                <w:b/>
                <w:i/>
                <w:sz w:val="22"/>
                <w:szCs w:val="22"/>
              </w:rPr>
            </w:pPr>
            <w:r w:rsidRPr="005970CF">
              <w:rPr>
                <w:b/>
                <w:i/>
                <w:sz w:val="22"/>
                <w:szCs w:val="22"/>
              </w:rPr>
              <w:t>8) субъекты принятия решений, органы администрации - заказчики муниципальных и иных программ городского округа, а также внешние участники управления, действующие на основании муниципальных заданий, реализация которых предусматривает размещение заказа на поставки товаров, выполнение работ, оказание услуг для муниципальных нужд в порядке, определенном решением Думы, формируют планы муниципального заказа и направляют их в орган администрации, ответственный за формирование Сводного плана муниципального заказа городского округа на очередной финансовый год;</w:t>
            </w:r>
          </w:p>
        </w:tc>
        <w:tc>
          <w:tcPr>
            <w:tcW w:w="4786" w:type="dxa"/>
          </w:tcPr>
          <w:p w:rsidR="00365C8D" w:rsidRDefault="00365C8D" w:rsidP="003C5D5E">
            <w:pPr>
              <w:ind w:right="-1" w:firstLine="0"/>
              <w:rPr>
                <w:sz w:val="22"/>
                <w:szCs w:val="22"/>
              </w:rPr>
            </w:pPr>
          </w:p>
        </w:tc>
      </w:tr>
    </w:tbl>
    <w:p w:rsidR="00D47616" w:rsidRDefault="00D47616" w:rsidP="00D47616">
      <w:pPr>
        <w:ind w:right="-1" w:firstLine="0"/>
        <w:rPr>
          <w:sz w:val="28"/>
          <w:szCs w:val="28"/>
        </w:rPr>
      </w:pPr>
    </w:p>
    <w:p w:rsidR="00B9338B" w:rsidRDefault="00620ED9" w:rsidP="00FB1E03">
      <w:pPr>
        <w:ind w:right="-1" w:firstLine="708"/>
        <w:rPr>
          <w:sz w:val="28"/>
          <w:szCs w:val="28"/>
        </w:rPr>
      </w:pPr>
      <w:r>
        <w:rPr>
          <w:sz w:val="28"/>
          <w:szCs w:val="28"/>
        </w:rPr>
        <w:t xml:space="preserve">Проектом решения </w:t>
      </w:r>
      <w:r w:rsidRPr="00FB1E03">
        <w:rPr>
          <w:sz w:val="28"/>
          <w:szCs w:val="28"/>
        </w:rPr>
        <w:t>предлагает</w:t>
      </w:r>
      <w:r>
        <w:rPr>
          <w:sz w:val="28"/>
          <w:szCs w:val="28"/>
        </w:rPr>
        <w:t xml:space="preserve">ся </w:t>
      </w:r>
      <w:r w:rsidRPr="00FB1E03">
        <w:rPr>
          <w:sz w:val="28"/>
          <w:szCs w:val="28"/>
        </w:rPr>
        <w:t>дополнить Положени</w:t>
      </w:r>
      <w:r>
        <w:rPr>
          <w:sz w:val="28"/>
          <w:szCs w:val="28"/>
        </w:rPr>
        <w:t>я</w:t>
      </w:r>
      <w:r w:rsidRPr="00FB1E03">
        <w:rPr>
          <w:sz w:val="28"/>
          <w:szCs w:val="28"/>
        </w:rPr>
        <w:t xml:space="preserve"> пунктом, конкретизирующим полномочия контрольно-счетной палаты городского округа Тольятти в сфере стратегического планирования социально-экономичес</w:t>
      </w:r>
      <w:r>
        <w:rPr>
          <w:sz w:val="28"/>
          <w:szCs w:val="28"/>
        </w:rPr>
        <w:t xml:space="preserve">кого развития городского округа. </w:t>
      </w:r>
      <w:r w:rsidR="00B9338B" w:rsidRPr="00B9338B">
        <w:rPr>
          <w:sz w:val="28"/>
          <w:szCs w:val="28"/>
        </w:rPr>
        <w:t>Основные полномочия контрольно-счетной палаты городского округа Тольятти, как контрольно-счетного органа местного самоуправления, являющегося постоянно действующим органом внешнего муниципального финансового контроля, определены ч. 2 ст. 9 Федерального закона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ст. 37.2 Устава городского округа Тольятти и ст. 8 решения Думы городского округа Тольятти Самарской области от 22.12.2021 № 1138 «О Положении о контрольно-счетной палате городского округа Тольятти».</w:t>
      </w:r>
      <w:r w:rsidR="00FB1E03">
        <w:rPr>
          <w:sz w:val="28"/>
          <w:szCs w:val="28"/>
        </w:rPr>
        <w:t xml:space="preserve"> </w:t>
      </w:r>
    </w:p>
    <w:p w:rsidR="00B9338B" w:rsidRDefault="00620ED9" w:rsidP="00D71A48">
      <w:pPr>
        <w:ind w:right="-1" w:firstLine="708"/>
        <w:rPr>
          <w:sz w:val="28"/>
          <w:szCs w:val="28"/>
        </w:rPr>
      </w:pPr>
      <w:r>
        <w:rPr>
          <w:sz w:val="28"/>
          <w:szCs w:val="28"/>
        </w:rPr>
        <w:t>Кроме того, п</w:t>
      </w:r>
      <w:r w:rsidR="00D71A48">
        <w:rPr>
          <w:sz w:val="28"/>
          <w:szCs w:val="28"/>
        </w:rPr>
        <w:t xml:space="preserve">роектом решения </w:t>
      </w:r>
      <w:r w:rsidR="00D71A48" w:rsidRPr="00D71A48">
        <w:rPr>
          <w:sz w:val="28"/>
          <w:szCs w:val="28"/>
        </w:rPr>
        <w:t xml:space="preserve">предлагается привести Положение о системе управления социально-экономическим развитием городского округа Тольятти, утвержденное решением Думы городского округа Тольятти от </w:t>
      </w:r>
      <w:r w:rsidR="00D71A48" w:rsidRPr="00D71A48">
        <w:rPr>
          <w:sz w:val="28"/>
          <w:szCs w:val="28"/>
        </w:rPr>
        <w:lastRenderedPageBreak/>
        <w:t>10.12.2014 № 546 (далее – Положение), в соответствие с действующим законодательством,</w:t>
      </w:r>
      <w:r>
        <w:rPr>
          <w:sz w:val="28"/>
          <w:szCs w:val="28"/>
        </w:rPr>
        <w:t xml:space="preserve"> и исключить </w:t>
      </w:r>
      <w:r w:rsidR="00D71A48" w:rsidRPr="00D71A48">
        <w:rPr>
          <w:sz w:val="28"/>
          <w:szCs w:val="28"/>
        </w:rPr>
        <w:t>ссылки на Федеральный закон от 30.12.2004 № 210-ФЗ «Об основах регулирования тарифов организаций коммунального комплекса» в связи с тем, что данный федеральный закон утратил силу с 01.01.2018</w:t>
      </w:r>
      <w:r>
        <w:rPr>
          <w:sz w:val="28"/>
          <w:szCs w:val="28"/>
        </w:rPr>
        <w:t xml:space="preserve">, </w:t>
      </w:r>
      <w:r w:rsidR="00D71A48" w:rsidRPr="00D71A48">
        <w:rPr>
          <w:sz w:val="28"/>
          <w:szCs w:val="28"/>
        </w:rPr>
        <w:t xml:space="preserve">указаний на ведомственные целевые программы, </w:t>
      </w:r>
      <w:r>
        <w:rPr>
          <w:sz w:val="28"/>
          <w:szCs w:val="28"/>
        </w:rPr>
        <w:t xml:space="preserve">в связи с </w:t>
      </w:r>
      <w:r w:rsidR="00D71A48" w:rsidRPr="00D71A48">
        <w:rPr>
          <w:sz w:val="28"/>
          <w:szCs w:val="28"/>
        </w:rPr>
        <w:t>исключен</w:t>
      </w:r>
      <w:r>
        <w:rPr>
          <w:sz w:val="28"/>
          <w:szCs w:val="28"/>
        </w:rPr>
        <w:t>ием</w:t>
      </w:r>
      <w:r w:rsidR="00D71A48" w:rsidRPr="00D71A48">
        <w:rPr>
          <w:sz w:val="28"/>
          <w:szCs w:val="28"/>
        </w:rPr>
        <w:t xml:space="preserve"> </w:t>
      </w:r>
      <w:r>
        <w:rPr>
          <w:sz w:val="28"/>
          <w:szCs w:val="28"/>
        </w:rPr>
        <w:t xml:space="preserve">данного понятия </w:t>
      </w:r>
      <w:r w:rsidR="00D71A48" w:rsidRPr="00D71A48">
        <w:rPr>
          <w:sz w:val="28"/>
          <w:szCs w:val="28"/>
        </w:rPr>
        <w:t>из</w:t>
      </w:r>
      <w:r>
        <w:rPr>
          <w:sz w:val="28"/>
          <w:szCs w:val="28"/>
        </w:rPr>
        <w:t xml:space="preserve"> бюджетного законодательства РФ, </w:t>
      </w:r>
      <w:r w:rsidR="00D71A48" w:rsidRPr="00D71A48">
        <w:rPr>
          <w:sz w:val="28"/>
          <w:szCs w:val="28"/>
        </w:rPr>
        <w:t>указаний на сводный план муниципального заказа, как вид документа планирования, не предусмотренный действующим законодательством РФ о муниципальных закупках.</w:t>
      </w:r>
    </w:p>
    <w:p w:rsidR="00F726FF" w:rsidRDefault="00F726FF" w:rsidP="00D71A48">
      <w:pPr>
        <w:ind w:right="-1" w:firstLine="708"/>
        <w:rPr>
          <w:sz w:val="28"/>
          <w:szCs w:val="28"/>
        </w:rPr>
      </w:pPr>
    </w:p>
    <w:p w:rsidR="00C65305" w:rsidRDefault="00C65305" w:rsidP="008B09C3">
      <w:pPr>
        <w:ind w:right="-1" w:firstLine="708"/>
        <w:rPr>
          <w:sz w:val="28"/>
          <w:szCs w:val="28"/>
        </w:rPr>
      </w:pPr>
      <w:r>
        <w:rPr>
          <w:sz w:val="28"/>
          <w:szCs w:val="28"/>
        </w:rPr>
        <w:t>Замечания и предложения к представленному проекту решения отсутствуют.</w:t>
      </w:r>
    </w:p>
    <w:p w:rsidR="00083F28" w:rsidRDefault="00083F28" w:rsidP="008B09C3">
      <w:pPr>
        <w:ind w:right="-1" w:firstLine="0"/>
        <w:rPr>
          <w:sz w:val="28"/>
          <w:szCs w:val="28"/>
        </w:rPr>
      </w:pPr>
    </w:p>
    <w:p w:rsidR="00460305" w:rsidRPr="00ED49A5" w:rsidRDefault="00460305" w:rsidP="008B09C3">
      <w:pPr>
        <w:ind w:right="-1" w:firstLine="708"/>
        <w:rPr>
          <w:sz w:val="28"/>
          <w:szCs w:val="28"/>
        </w:rPr>
      </w:pPr>
      <w:r w:rsidRPr="00ED49A5">
        <w:rPr>
          <w:sz w:val="28"/>
          <w:szCs w:val="28"/>
        </w:rPr>
        <w:t xml:space="preserve">Вывод: проект решения Думы городского округа Тольятти </w:t>
      </w:r>
      <w:r w:rsidR="0041148E" w:rsidRPr="0041148E">
        <w:rPr>
          <w:sz w:val="28"/>
          <w:szCs w:val="28"/>
        </w:rPr>
        <w:t>«</w:t>
      </w:r>
      <w:r w:rsidR="00E572A7" w:rsidRPr="00E572A7">
        <w:rPr>
          <w:sz w:val="28"/>
          <w:szCs w:val="28"/>
        </w:rPr>
        <w:t>О внесении изменений в отдельные решения Думы городского округа Тольятти по вопросам стратегического планирования и управления социально-экономическим развитием городского округа Тольятти</w:t>
      </w:r>
      <w:r w:rsidR="0041148E" w:rsidRPr="0041148E">
        <w:rPr>
          <w:sz w:val="28"/>
          <w:szCs w:val="28"/>
        </w:rPr>
        <w:t>»</w:t>
      </w:r>
      <w:r w:rsidR="0041148E">
        <w:rPr>
          <w:sz w:val="28"/>
          <w:szCs w:val="28"/>
        </w:rPr>
        <w:t xml:space="preserve"> </w:t>
      </w:r>
      <w:r w:rsidRPr="00ED49A5">
        <w:rPr>
          <w:sz w:val="28"/>
          <w:szCs w:val="28"/>
        </w:rPr>
        <w:t xml:space="preserve">может быть рассмотрен на заседании </w:t>
      </w:r>
      <w:r w:rsidR="008F45F9">
        <w:rPr>
          <w:sz w:val="28"/>
          <w:szCs w:val="28"/>
        </w:rPr>
        <w:t>Думы городского округа Тольятти</w:t>
      </w:r>
      <w:r w:rsidR="0041148E">
        <w:rPr>
          <w:sz w:val="28"/>
          <w:szCs w:val="28"/>
        </w:rPr>
        <w:t xml:space="preserve">. </w:t>
      </w:r>
    </w:p>
    <w:p w:rsidR="00FA28B3" w:rsidRDefault="00FA28B3" w:rsidP="0049223B">
      <w:pPr>
        <w:ind w:right="-1" w:firstLine="0"/>
        <w:rPr>
          <w:sz w:val="28"/>
          <w:szCs w:val="28"/>
        </w:rPr>
      </w:pPr>
    </w:p>
    <w:p w:rsidR="005C0C3B" w:rsidRDefault="005C0C3B" w:rsidP="0049223B">
      <w:pPr>
        <w:ind w:right="-1" w:firstLine="0"/>
        <w:rPr>
          <w:sz w:val="28"/>
          <w:szCs w:val="28"/>
        </w:rPr>
      </w:pPr>
    </w:p>
    <w:p w:rsidR="005C0C3B" w:rsidRDefault="005C0C3B" w:rsidP="0049223B">
      <w:pPr>
        <w:ind w:right="-1" w:firstLine="0"/>
        <w:rPr>
          <w:sz w:val="28"/>
          <w:szCs w:val="28"/>
        </w:rPr>
      </w:pPr>
    </w:p>
    <w:p w:rsidR="0049223B" w:rsidRPr="00ED49A5" w:rsidRDefault="0049223B" w:rsidP="0049223B">
      <w:pPr>
        <w:ind w:right="-1" w:firstLine="0"/>
        <w:rPr>
          <w:sz w:val="28"/>
          <w:szCs w:val="28"/>
        </w:rPr>
      </w:pPr>
      <w:r>
        <w:rPr>
          <w:sz w:val="28"/>
          <w:szCs w:val="28"/>
        </w:rPr>
        <w:t>Начальник аналитического отдела</w:t>
      </w:r>
      <w:r>
        <w:rPr>
          <w:sz w:val="28"/>
          <w:szCs w:val="28"/>
        </w:rPr>
        <w:tab/>
      </w:r>
      <w:r>
        <w:rPr>
          <w:sz w:val="28"/>
          <w:szCs w:val="28"/>
        </w:rPr>
        <w:tab/>
      </w:r>
      <w:r>
        <w:rPr>
          <w:sz w:val="28"/>
          <w:szCs w:val="28"/>
        </w:rPr>
        <w:tab/>
      </w:r>
      <w:r>
        <w:rPr>
          <w:sz w:val="28"/>
          <w:szCs w:val="28"/>
        </w:rPr>
        <w:tab/>
      </w:r>
      <w:r>
        <w:rPr>
          <w:sz w:val="28"/>
          <w:szCs w:val="28"/>
        </w:rPr>
        <w:tab/>
        <w:t>Д. В. Замчевский</w:t>
      </w:r>
    </w:p>
    <w:p w:rsidR="00F85115" w:rsidRPr="00ED49A5" w:rsidRDefault="00F85115" w:rsidP="00022C28">
      <w:pPr>
        <w:ind w:right="-1" w:firstLine="709"/>
        <w:rPr>
          <w:sz w:val="28"/>
          <w:szCs w:val="28"/>
        </w:rPr>
      </w:pPr>
    </w:p>
    <w:p w:rsidR="006F2CED" w:rsidRDefault="006F2CED" w:rsidP="008F45F9">
      <w:pPr>
        <w:ind w:right="-1" w:firstLine="0"/>
      </w:pPr>
    </w:p>
    <w:p w:rsidR="003F7401" w:rsidRPr="005B423C" w:rsidRDefault="00F11E10" w:rsidP="008F45F9">
      <w:pPr>
        <w:ind w:right="-1" w:firstLine="0"/>
        <w:rPr>
          <w:rFonts w:eastAsiaTheme="minorHAnsi"/>
          <w:color w:val="7030A0"/>
          <w:sz w:val="28"/>
          <w:szCs w:val="28"/>
          <w:lang w:eastAsia="en-US"/>
        </w:rPr>
      </w:pPr>
      <w:r w:rsidRPr="00F11E10">
        <w:t>Поручикова, 28-05-67 (1145)</w:t>
      </w:r>
    </w:p>
    <w:p w:rsidR="00221FBC" w:rsidRPr="005B423C" w:rsidRDefault="00221FBC" w:rsidP="00022C28">
      <w:pPr>
        <w:rPr>
          <w:color w:val="7030A0"/>
          <w:sz w:val="28"/>
          <w:szCs w:val="28"/>
        </w:rPr>
      </w:pPr>
    </w:p>
    <w:sectPr w:rsidR="00221FBC" w:rsidRPr="005B423C" w:rsidSect="00097391">
      <w:headerReference w:type="default" r:id="rId9"/>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447" w:rsidRDefault="00882447" w:rsidP="00814622">
      <w:r>
        <w:separator/>
      </w:r>
    </w:p>
  </w:endnote>
  <w:endnote w:type="continuationSeparator" w:id="0">
    <w:p w:rsidR="00882447" w:rsidRDefault="00882447" w:rsidP="00814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447" w:rsidRDefault="00882447" w:rsidP="00814622">
      <w:r>
        <w:separator/>
      </w:r>
    </w:p>
  </w:footnote>
  <w:footnote w:type="continuationSeparator" w:id="0">
    <w:p w:rsidR="00882447" w:rsidRDefault="00882447" w:rsidP="008146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984711"/>
      <w:docPartObj>
        <w:docPartGallery w:val="Page Numbers (Top of Page)"/>
        <w:docPartUnique/>
      </w:docPartObj>
    </w:sdtPr>
    <w:sdtEndPr/>
    <w:sdtContent>
      <w:p w:rsidR="00967E61" w:rsidRDefault="00967E61">
        <w:pPr>
          <w:pStyle w:val="a8"/>
          <w:jc w:val="center"/>
        </w:pPr>
        <w:r>
          <w:fldChar w:fldCharType="begin"/>
        </w:r>
        <w:r>
          <w:instrText>PAGE   \* MERGEFORMAT</w:instrText>
        </w:r>
        <w:r>
          <w:fldChar w:fldCharType="separate"/>
        </w:r>
        <w:r w:rsidR="00DA30C8">
          <w:rPr>
            <w:noProof/>
          </w:rPr>
          <w:t>5</w:t>
        </w:r>
        <w:r>
          <w:fldChar w:fldCharType="end"/>
        </w:r>
      </w:p>
    </w:sdtContent>
  </w:sdt>
  <w:p w:rsidR="00967E61" w:rsidRDefault="00967E6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559DE"/>
    <w:multiLevelType w:val="hybridMultilevel"/>
    <w:tmpl w:val="F6466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181126"/>
    <w:multiLevelType w:val="hybridMultilevel"/>
    <w:tmpl w:val="33EC33DA"/>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FA07C6E"/>
    <w:multiLevelType w:val="hybridMultilevel"/>
    <w:tmpl w:val="847ADCFE"/>
    <w:lvl w:ilvl="0" w:tplc="772C3842">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850"/>
    <w:rsid w:val="00002AD3"/>
    <w:rsid w:val="00005BCD"/>
    <w:rsid w:val="00005C49"/>
    <w:rsid w:val="00011B8D"/>
    <w:rsid w:val="00022C28"/>
    <w:rsid w:val="00023CA9"/>
    <w:rsid w:val="00024763"/>
    <w:rsid w:val="00034053"/>
    <w:rsid w:val="00034B74"/>
    <w:rsid w:val="00041AF8"/>
    <w:rsid w:val="00042A51"/>
    <w:rsid w:val="00051204"/>
    <w:rsid w:val="000514ED"/>
    <w:rsid w:val="00063735"/>
    <w:rsid w:val="0006399A"/>
    <w:rsid w:val="000731A5"/>
    <w:rsid w:val="00076AE8"/>
    <w:rsid w:val="00080FBD"/>
    <w:rsid w:val="00081718"/>
    <w:rsid w:val="00083F28"/>
    <w:rsid w:val="00086528"/>
    <w:rsid w:val="0008747A"/>
    <w:rsid w:val="00094E0A"/>
    <w:rsid w:val="00097391"/>
    <w:rsid w:val="000A2E6E"/>
    <w:rsid w:val="000A581E"/>
    <w:rsid w:val="000A657B"/>
    <w:rsid w:val="000B75F5"/>
    <w:rsid w:val="000C4F8E"/>
    <w:rsid w:val="000C5425"/>
    <w:rsid w:val="000C5545"/>
    <w:rsid w:val="000D208A"/>
    <w:rsid w:val="000D5093"/>
    <w:rsid w:val="000E0142"/>
    <w:rsid w:val="000E3C54"/>
    <w:rsid w:val="000E4A8E"/>
    <w:rsid w:val="000E6929"/>
    <w:rsid w:val="000F5260"/>
    <w:rsid w:val="001002DB"/>
    <w:rsid w:val="00105D1C"/>
    <w:rsid w:val="001203DC"/>
    <w:rsid w:val="00120F05"/>
    <w:rsid w:val="00124026"/>
    <w:rsid w:val="00131D74"/>
    <w:rsid w:val="001349D7"/>
    <w:rsid w:val="00146698"/>
    <w:rsid w:val="00150C17"/>
    <w:rsid w:val="00151189"/>
    <w:rsid w:val="00157E9E"/>
    <w:rsid w:val="0016378E"/>
    <w:rsid w:val="001736EE"/>
    <w:rsid w:val="0018177D"/>
    <w:rsid w:val="001841E6"/>
    <w:rsid w:val="001845B0"/>
    <w:rsid w:val="001854BE"/>
    <w:rsid w:val="0019071C"/>
    <w:rsid w:val="00191BC8"/>
    <w:rsid w:val="00194297"/>
    <w:rsid w:val="001A170A"/>
    <w:rsid w:val="001A4488"/>
    <w:rsid w:val="001A65D6"/>
    <w:rsid w:val="001B139C"/>
    <w:rsid w:val="001B433A"/>
    <w:rsid w:val="001B5E50"/>
    <w:rsid w:val="001B7BD4"/>
    <w:rsid w:val="001C0DCE"/>
    <w:rsid w:val="001E0223"/>
    <w:rsid w:val="0020466C"/>
    <w:rsid w:val="00213B65"/>
    <w:rsid w:val="00221FBC"/>
    <w:rsid w:val="00223177"/>
    <w:rsid w:val="00233C7C"/>
    <w:rsid w:val="0023434A"/>
    <w:rsid w:val="00236BED"/>
    <w:rsid w:val="002465EF"/>
    <w:rsid w:val="0025213B"/>
    <w:rsid w:val="002708A0"/>
    <w:rsid w:val="00270BD4"/>
    <w:rsid w:val="0027141B"/>
    <w:rsid w:val="00277844"/>
    <w:rsid w:val="00280B3F"/>
    <w:rsid w:val="00280CF3"/>
    <w:rsid w:val="00285386"/>
    <w:rsid w:val="00286B55"/>
    <w:rsid w:val="00294091"/>
    <w:rsid w:val="00295376"/>
    <w:rsid w:val="00296153"/>
    <w:rsid w:val="002A7850"/>
    <w:rsid w:val="002C1522"/>
    <w:rsid w:val="002C3868"/>
    <w:rsid w:val="002D03F1"/>
    <w:rsid w:val="002D5AB2"/>
    <w:rsid w:val="002D7AD9"/>
    <w:rsid w:val="002E2C4F"/>
    <w:rsid w:val="002E3125"/>
    <w:rsid w:val="002E4E5D"/>
    <w:rsid w:val="002F1191"/>
    <w:rsid w:val="002F31A0"/>
    <w:rsid w:val="00302E87"/>
    <w:rsid w:val="00303FF9"/>
    <w:rsid w:val="00310473"/>
    <w:rsid w:val="0032033D"/>
    <w:rsid w:val="003237B2"/>
    <w:rsid w:val="003248DF"/>
    <w:rsid w:val="00331125"/>
    <w:rsid w:val="00351F88"/>
    <w:rsid w:val="00356A80"/>
    <w:rsid w:val="0036239D"/>
    <w:rsid w:val="00365C8D"/>
    <w:rsid w:val="00380FB4"/>
    <w:rsid w:val="003842FA"/>
    <w:rsid w:val="003A590D"/>
    <w:rsid w:val="003C5D5E"/>
    <w:rsid w:val="003C6116"/>
    <w:rsid w:val="003D10E4"/>
    <w:rsid w:val="003D24D3"/>
    <w:rsid w:val="003D702F"/>
    <w:rsid w:val="003E1866"/>
    <w:rsid w:val="003E2A58"/>
    <w:rsid w:val="003F1D09"/>
    <w:rsid w:val="003F7401"/>
    <w:rsid w:val="004024F2"/>
    <w:rsid w:val="00410E46"/>
    <w:rsid w:val="0041148E"/>
    <w:rsid w:val="00416728"/>
    <w:rsid w:val="0041717C"/>
    <w:rsid w:val="00420F29"/>
    <w:rsid w:val="004225CC"/>
    <w:rsid w:val="004236F6"/>
    <w:rsid w:val="004257D7"/>
    <w:rsid w:val="00430E4B"/>
    <w:rsid w:val="00431C9A"/>
    <w:rsid w:val="0043478A"/>
    <w:rsid w:val="00437637"/>
    <w:rsid w:val="0044349A"/>
    <w:rsid w:val="00447F44"/>
    <w:rsid w:val="00450D65"/>
    <w:rsid w:val="00451641"/>
    <w:rsid w:val="004524B6"/>
    <w:rsid w:val="00454323"/>
    <w:rsid w:val="00455014"/>
    <w:rsid w:val="00457F59"/>
    <w:rsid w:val="00460305"/>
    <w:rsid w:val="00466DAE"/>
    <w:rsid w:val="00466FA9"/>
    <w:rsid w:val="00467CDB"/>
    <w:rsid w:val="00471049"/>
    <w:rsid w:val="00471241"/>
    <w:rsid w:val="00471EA3"/>
    <w:rsid w:val="00483C72"/>
    <w:rsid w:val="0049223B"/>
    <w:rsid w:val="0049427F"/>
    <w:rsid w:val="004B4594"/>
    <w:rsid w:val="004D347E"/>
    <w:rsid w:val="004E0986"/>
    <w:rsid w:val="004E1CA5"/>
    <w:rsid w:val="004E3FC6"/>
    <w:rsid w:val="004E48F6"/>
    <w:rsid w:val="004E4E69"/>
    <w:rsid w:val="004F4A2D"/>
    <w:rsid w:val="004F4DED"/>
    <w:rsid w:val="00500BFB"/>
    <w:rsid w:val="00510895"/>
    <w:rsid w:val="00526F96"/>
    <w:rsid w:val="0052731D"/>
    <w:rsid w:val="005336BB"/>
    <w:rsid w:val="00540D71"/>
    <w:rsid w:val="005430E2"/>
    <w:rsid w:val="0054367E"/>
    <w:rsid w:val="005442DB"/>
    <w:rsid w:val="005462AD"/>
    <w:rsid w:val="005463C2"/>
    <w:rsid w:val="00550922"/>
    <w:rsid w:val="00551A9E"/>
    <w:rsid w:val="00553D6B"/>
    <w:rsid w:val="00557E5F"/>
    <w:rsid w:val="00560D86"/>
    <w:rsid w:val="005629E8"/>
    <w:rsid w:val="005674AD"/>
    <w:rsid w:val="005758C9"/>
    <w:rsid w:val="00577D49"/>
    <w:rsid w:val="00585562"/>
    <w:rsid w:val="00592657"/>
    <w:rsid w:val="005970CF"/>
    <w:rsid w:val="005A01B9"/>
    <w:rsid w:val="005A0704"/>
    <w:rsid w:val="005A352F"/>
    <w:rsid w:val="005A64A4"/>
    <w:rsid w:val="005B219A"/>
    <w:rsid w:val="005B281B"/>
    <w:rsid w:val="005B423C"/>
    <w:rsid w:val="005B5154"/>
    <w:rsid w:val="005B6A4E"/>
    <w:rsid w:val="005C0C3B"/>
    <w:rsid w:val="005C1032"/>
    <w:rsid w:val="005C7258"/>
    <w:rsid w:val="005D1DAE"/>
    <w:rsid w:val="005D262E"/>
    <w:rsid w:val="005D4074"/>
    <w:rsid w:val="005D5803"/>
    <w:rsid w:val="005D671D"/>
    <w:rsid w:val="005E7C7A"/>
    <w:rsid w:val="005F2439"/>
    <w:rsid w:val="00600F6A"/>
    <w:rsid w:val="00613567"/>
    <w:rsid w:val="00614B5D"/>
    <w:rsid w:val="00620787"/>
    <w:rsid w:val="00620ED9"/>
    <w:rsid w:val="006255DE"/>
    <w:rsid w:val="006309DA"/>
    <w:rsid w:val="006324B0"/>
    <w:rsid w:val="006332FA"/>
    <w:rsid w:val="00634585"/>
    <w:rsid w:val="00644FEC"/>
    <w:rsid w:val="006473AC"/>
    <w:rsid w:val="00661817"/>
    <w:rsid w:val="006676F3"/>
    <w:rsid w:val="00671F66"/>
    <w:rsid w:val="006722A3"/>
    <w:rsid w:val="00673EB6"/>
    <w:rsid w:val="00677447"/>
    <w:rsid w:val="00677564"/>
    <w:rsid w:val="00680685"/>
    <w:rsid w:val="00680C07"/>
    <w:rsid w:val="00683AF7"/>
    <w:rsid w:val="006A3802"/>
    <w:rsid w:val="006B02B0"/>
    <w:rsid w:val="006B3390"/>
    <w:rsid w:val="006B79CB"/>
    <w:rsid w:val="006C43C5"/>
    <w:rsid w:val="006C4B15"/>
    <w:rsid w:val="006D5547"/>
    <w:rsid w:val="006E06F6"/>
    <w:rsid w:val="006E4DD1"/>
    <w:rsid w:val="006E6E01"/>
    <w:rsid w:val="006F09EF"/>
    <w:rsid w:val="006F1AC3"/>
    <w:rsid w:val="006F2CED"/>
    <w:rsid w:val="006F6ACD"/>
    <w:rsid w:val="00710ACB"/>
    <w:rsid w:val="00710BEE"/>
    <w:rsid w:val="00711400"/>
    <w:rsid w:val="00712E11"/>
    <w:rsid w:val="00722B3A"/>
    <w:rsid w:val="00722FFE"/>
    <w:rsid w:val="00727029"/>
    <w:rsid w:val="00733144"/>
    <w:rsid w:val="00734D1A"/>
    <w:rsid w:val="00735EB8"/>
    <w:rsid w:val="00754F6E"/>
    <w:rsid w:val="00756782"/>
    <w:rsid w:val="00757EF9"/>
    <w:rsid w:val="00760CBD"/>
    <w:rsid w:val="00764ECC"/>
    <w:rsid w:val="00765BD0"/>
    <w:rsid w:val="00766495"/>
    <w:rsid w:val="00767F2C"/>
    <w:rsid w:val="00775A04"/>
    <w:rsid w:val="00777D66"/>
    <w:rsid w:val="00780A7C"/>
    <w:rsid w:val="0078590E"/>
    <w:rsid w:val="00790F03"/>
    <w:rsid w:val="007A587D"/>
    <w:rsid w:val="007A64CD"/>
    <w:rsid w:val="007C263A"/>
    <w:rsid w:val="007D0515"/>
    <w:rsid w:val="007D6BE3"/>
    <w:rsid w:val="007E40B9"/>
    <w:rsid w:val="007F41FE"/>
    <w:rsid w:val="008014EF"/>
    <w:rsid w:val="0080454F"/>
    <w:rsid w:val="00814622"/>
    <w:rsid w:val="00816DB8"/>
    <w:rsid w:val="00816F48"/>
    <w:rsid w:val="0082143F"/>
    <w:rsid w:val="00824849"/>
    <w:rsid w:val="0082781C"/>
    <w:rsid w:val="008328E1"/>
    <w:rsid w:val="008348E5"/>
    <w:rsid w:val="008373F7"/>
    <w:rsid w:val="00837A66"/>
    <w:rsid w:val="008408FD"/>
    <w:rsid w:val="00847C49"/>
    <w:rsid w:val="00855DE6"/>
    <w:rsid w:val="0085731D"/>
    <w:rsid w:val="00857469"/>
    <w:rsid w:val="008638A4"/>
    <w:rsid w:val="00874B0E"/>
    <w:rsid w:val="008800D2"/>
    <w:rsid w:val="00882447"/>
    <w:rsid w:val="008919C0"/>
    <w:rsid w:val="00896BFD"/>
    <w:rsid w:val="008A2828"/>
    <w:rsid w:val="008A2D63"/>
    <w:rsid w:val="008A33C0"/>
    <w:rsid w:val="008A445B"/>
    <w:rsid w:val="008B09C3"/>
    <w:rsid w:val="008B2FB6"/>
    <w:rsid w:val="008C206E"/>
    <w:rsid w:val="008C4666"/>
    <w:rsid w:val="008C537E"/>
    <w:rsid w:val="008D0A8F"/>
    <w:rsid w:val="008D5080"/>
    <w:rsid w:val="008E4889"/>
    <w:rsid w:val="008E499B"/>
    <w:rsid w:val="008E54FA"/>
    <w:rsid w:val="008E7590"/>
    <w:rsid w:val="008F0BEA"/>
    <w:rsid w:val="008F2D19"/>
    <w:rsid w:val="008F45F9"/>
    <w:rsid w:val="008F74AD"/>
    <w:rsid w:val="00903D73"/>
    <w:rsid w:val="0092149B"/>
    <w:rsid w:val="00931C03"/>
    <w:rsid w:val="00951A4A"/>
    <w:rsid w:val="00951EF6"/>
    <w:rsid w:val="00954DF2"/>
    <w:rsid w:val="00961582"/>
    <w:rsid w:val="00964E50"/>
    <w:rsid w:val="00965EDE"/>
    <w:rsid w:val="00967E61"/>
    <w:rsid w:val="00982726"/>
    <w:rsid w:val="00987EA4"/>
    <w:rsid w:val="009918A7"/>
    <w:rsid w:val="00993363"/>
    <w:rsid w:val="0099499B"/>
    <w:rsid w:val="00994B8F"/>
    <w:rsid w:val="009A22FC"/>
    <w:rsid w:val="009A3796"/>
    <w:rsid w:val="009B515D"/>
    <w:rsid w:val="009B58F3"/>
    <w:rsid w:val="009C0017"/>
    <w:rsid w:val="009C1015"/>
    <w:rsid w:val="009D2AAD"/>
    <w:rsid w:val="009D49FF"/>
    <w:rsid w:val="009E0BB5"/>
    <w:rsid w:val="009E7B10"/>
    <w:rsid w:val="009F78C8"/>
    <w:rsid w:val="00A01EE4"/>
    <w:rsid w:val="00A05C31"/>
    <w:rsid w:val="00A14C1E"/>
    <w:rsid w:val="00A2006E"/>
    <w:rsid w:val="00A246DD"/>
    <w:rsid w:val="00A27F3B"/>
    <w:rsid w:val="00A32D56"/>
    <w:rsid w:val="00A35F40"/>
    <w:rsid w:val="00A36B10"/>
    <w:rsid w:val="00A41EFF"/>
    <w:rsid w:val="00A5579D"/>
    <w:rsid w:val="00A55BF6"/>
    <w:rsid w:val="00A574E4"/>
    <w:rsid w:val="00A63CDF"/>
    <w:rsid w:val="00A67F30"/>
    <w:rsid w:val="00A7149E"/>
    <w:rsid w:val="00A71AE6"/>
    <w:rsid w:val="00A72E25"/>
    <w:rsid w:val="00A73AD0"/>
    <w:rsid w:val="00A76742"/>
    <w:rsid w:val="00A76D44"/>
    <w:rsid w:val="00A7776B"/>
    <w:rsid w:val="00AA20E1"/>
    <w:rsid w:val="00AA6485"/>
    <w:rsid w:val="00AB0C93"/>
    <w:rsid w:val="00AB2B8A"/>
    <w:rsid w:val="00AB43BD"/>
    <w:rsid w:val="00AB4CFB"/>
    <w:rsid w:val="00AB6E86"/>
    <w:rsid w:val="00AB71D6"/>
    <w:rsid w:val="00AB7C19"/>
    <w:rsid w:val="00AC0C3C"/>
    <w:rsid w:val="00AC6157"/>
    <w:rsid w:val="00AD0222"/>
    <w:rsid w:val="00AE0EA5"/>
    <w:rsid w:val="00AE1D55"/>
    <w:rsid w:val="00AE256D"/>
    <w:rsid w:val="00AF5EB1"/>
    <w:rsid w:val="00AF64E3"/>
    <w:rsid w:val="00AF7481"/>
    <w:rsid w:val="00AF749A"/>
    <w:rsid w:val="00B02EDA"/>
    <w:rsid w:val="00B11515"/>
    <w:rsid w:val="00B15D69"/>
    <w:rsid w:val="00B1615A"/>
    <w:rsid w:val="00B23BC6"/>
    <w:rsid w:val="00B331D5"/>
    <w:rsid w:val="00B33749"/>
    <w:rsid w:val="00B3782C"/>
    <w:rsid w:val="00B50A3A"/>
    <w:rsid w:val="00B548D8"/>
    <w:rsid w:val="00B63C11"/>
    <w:rsid w:val="00B64569"/>
    <w:rsid w:val="00B716E9"/>
    <w:rsid w:val="00B732AD"/>
    <w:rsid w:val="00B826E7"/>
    <w:rsid w:val="00B9338B"/>
    <w:rsid w:val="00B95F97"/>
    <w:rsid w:val="00BA1A18"/>
    <w:rsid w:val="00BA1B3E"/>
    <w:rsid w:val="00BB678A"/>
    <w:rsid w:val="00BC0A9F"/>
    <w:rsid w:val="00BD0E38"/>
    <w:rsid w:val="00BE17B5"/>
    <w:rsid w:val="00BE243A"/>
    <w:rsid w:val="00BE2476"/>
    <w:rsid w:val="00BE5383"/>
    <w:rsid w:val="00BE7466"/>
    <w:rsid w:val="00BF366D"/>
    <w:rsid w:val="00BF7119"/>
    <w:rsid w:val="00C0026F"/>
    <w:rsid w:val="00C01450"/>
    <w:rsid w:val="00C03C20"/>
    <w:rsid w:val="00C10808"/>
    <w:rsid w:val="00C152F7"/>
    <w:rsid w:val="00C17D70"/>
    <w:rsid w:val="00C23DA1"/>
    <w:rsid w:val="00C2411F"/>
    <w:rsid w:val="00C279A0"/>
    <w:rsid w:val="00C332CE"/>
    <w:rsid w:val="00C3387B"/>
    <w:rsid w:val="00C34032"/>
    <w:rsid w:val="00C35E96"/>
    <w:rsid w:val="00C43034"/>
    <w:rsid w:val="00C46EE9"/>
    <w:rsid w:val="00C5012C"/>
    <w:rsid w:val="00C54850"/>
    <w:rsid w:val="00C56465"/>
    <w:rsid w:val="00C5688C"/>
    <w:rsid w:val="00C57D6B"/>
    <w:rsid w:val="00C615EC"/>
    <w:rsid w:val="00C626D6"/>
    <w:rsid w:val="00C65305"/>
    <w:rsid w:val="00C66A50"/>
    <w:rsid w:val="00C75A33"/>
    <w:rsid w:val="00C90D22"/>
    <w:rsid w:val="00C95D33"/>
    <w:rsid w:val="00C97E3A"/>
    <w:rsid w:val="00CB3F94"/>
    <w:rsid w:val="00CB462B"/>
    <w:rsid w:val="00CB7995"/>
    <w:rsid w:val="00CC5A29"/>
    <w:rsid w:val="00CC5D83"/>
    <w:rsid w:val="00CC7224"/>
    <w:rsid w:val="00CD4AAA"/>
    <w:rsid w:val="00CE42D2"/>
    <w:rsid w:val="00CF2F6C"/>
    <w:rsid w:val="00D03DA8"/>
    <w:rsid w:val="00D058FD"/>
    <w:rsid w:val="00D1434E"/>
    <w:rsid w:val="00D162D7"/>
    <w:rsid w:val="00D213AB"/>
    <w:rsid w:val="00D262EA"/>
    <w:rsid w:val="00D26ECA"/>
    <w:rsid w:val="00D30084"/>
    <w:rsid w:val="00D32BB6"/>
    <w:rsid w:val="00D34A5E"/>
    <w:rsid w:val="00D36538"/>
    <w:rsid w:val="00D374F2"/>
    <w:rsid w:val="00D37E0C"/>
    <w:rsid w:val="00D47616"/>
    <w:rsid w:val="00D509C7"/>
    <w:rsid w:val="00D51085"/>
    <w:rsid w:val="00D67EDD"/>
    <w:rsid w:val="00D718E4"/>
    <w:rsid w:val="00D71A48"/>
    <w:rsid w:val="00D811E7"/>
    <w:rsid w:val="00D820A4"/>
    <w:rsid w:val="00D86D7B"/>
    <w:rsid w:val="00DA110A"/>
    <w:rsid w:val="00DA1551"/>
    <w:rsid w:val="00DA30C8"/>
    <w:rsid w:val="00DB254B"/>
    <w:rsid w:val="00DB4C0E"/>
    <w:rsid w:val="00DB68E8"/>
    <w:rsid w:val="00DD079C"/>
    <w:rsid w:val="00DE124E"/>
    <w:rsid w:val="00DF2734"/>
    <w:rsid w:val="00DF7F28"/>
    <w:rsid w:val="00E06427"/>
    <w:rsid w:val="00E06A88"/>
    <w:rsid w:val="00E14092"/>
    <w:rsid w:val="00E1726D"/>
    <w:rsid w:val="00E252E9"/>
    <w:rsid w:val="00E25BAF"/>
    <w:rsid w:val="00E2689B"/>
    <w:rsid w:val="00E274BB"/>
    <w:rsid w:val="00E30D0C"/>
    <w:rsid w:val="00E43148"/>
    <w:rsid w:val="00E457D1"/>
    <w:rsid w:val="00E47F7B"/>
    <w:rsid w:val="00E536F0"/>
    <w:rsid w:val="00E55756"/>
    <w:rsid w:val="00E572A7"/>
    <w:rsid w:val="00E60F84"/>
    <w:rsid w:val="00E631F5"/>
    <w:rsid w:val="00E66333"/>
    <w:rsid w:val="00E67406"/>
    <w:rsid w:val="00E72647"/>
    <w:rsid w:val="00E72AF3"/>
    <w:rsid w:val="00E75710"/>
    <w:rsid w:val="00E856E3"/>
    <w:rsid w:val="00E92033"/>
    <w:rsid w:val="00E94C26"/>
    <w:rsid w:val="00EA09D6"/>
    <w:rsid w:val="00EA55D6"/>
    <w:rsid w:val="00EB3626"/>
    <w:rsid w:val="00EB6430"/>
    <w:rsid w:val="00EC32CF"/>
    <w:rsid w:val="00ED0CD5"/>
    <w:rsid w:val="00ED49A5"/>
    <w:rsid w:val="00EE06BF"/>
    <w:rsid w:val="00EF1456"/>
    <w:rsid w:val="00EF4066"/>
    <w:rsid w:val="00F00AF8"/>
    <w:rsid w:val="00F01E9A"/>
    <w:rsid w:val="00F03AD6"/>
    <w:rsid w:val="00F05C7E"/>
    <w:rsid w:val="00F11E10"/>
    <w:rsid w:val="00F12DA6"/>
    <w:rsid w:val="00F265CE"/>
    <w:rsid w:val="00F30265"/>
    <w:rsid w:val="00F37E44"/>
    <w:rsid w:val="00F409C2"/>
    <w:rsid w:val="00F426A8"/>
    <w:rsid w:val="00F42EAC"/>
    <w:rsid w:val="00F430DE"/>
    <w:rsid w:val="00F50CAC"/>
    <w:rsid w:val="00F644B7"/>
    <w:rsid w:val="00F6540D"/>
    <w:rsid w:val="00F726FF"/>
    <w:rsid w:val="00F7546C"/>
    <w:rsid w:val="00F77EBD"/>
    <w:rsid w:val="00F85115"/>
    <w:rsid w:val="00F86E9C"/>
    <w:rsid w:val="00F87F66"/>
    <w:rsid w:val="00F90D43"/>
    <w:rsid w:val="00FA28B3"/>
    <w:rsid w:val="00FA378D"/>
    <w:rsid w:val="00FA704C"/>
    <w:rsid w:val="00FB038C"/>
    <w:rsid w:val="00FB1E03"/>
    <w:rsid w:val="00FB49AE"/>
    <w:rsid w:val="00FC3DBF"/>
    <w:rsid w:val="00FC53C6"/>
    <w:rsid w:val="00FD353A"/>
    <w:rsid w:val="00FD5D50"/>
    <w:rsid w:val="00FE2310"/>
    <w:rsid w:val="00FF1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850"/>
    <w:pPr>
      <w:spacing w:after="0" w:line="240" w:lineRule="auto"/>
      <w:ind w:firstLine="72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837A66"/>
    <w:pPr>
      <w:ind w:firstLine="0"/>
      <w:jc w:val="center"/>
    </w:pPr>
    <w:rPr>
      <w:sz w:val="28"/>
    </w:rPr>
  </w:style>
  <w:style w:type="character" w:customStyle="1" w:styleId="a4">
    <w:name w:val="Название Знак"/>
    <w:basedOn w:val="a0"/>
    <w:link w:val="a3"/>
    <w:uiPriority w:val="99"/>
    <w:rsid w:val="00837A66"/>
    <w:rPr>
      <w:rFonts w:ascii="Times New Roman" w:eastAsia="Times New Roman" w:hAnsi="Times New Roman" w:cs="Times New Roman"/>
      <w:sz w:val="28"/>
      <w:szCs w:val="24"/>
      <w:lang w:eastAsia="ru-RU"/>
    </w:rPr>
  </w:style>
  <w:style w:type="table" w:styleId="a5">
    <w:name w:val="Table Grid"/>
    <w:basedOn w:val="a1"/>
    <w:uiPriority w:val="59"/>
    <w:rsid w:val="00EB64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EB6430"/>
    <w:rPr>
      <w:lang w:val="pl-PL" w:eastAsia="pl-PL"/>
    </w:rPr>
  </w:style>
  <w:style w:type="paragraph" w:styleId="a7">
    <w:name w:val="List Paragraph"/>
    <w:basedOn w:val="a"/>
    <w:uiPriority w:val="34"/>
    <w:qFormat/>
    <w:rsid w:val="00120F05"/>
    <w:pPr>
      <w:ind w:left="720"/>
      <w:contextualSpacing/>
    </w:pPr>
  </w:style>
  <w:style w:type="paragraph" w:styleId="a8">
    <w:name w:val="header"/>
    <w:basedOn w:val="a"/>
    <w:link w:val="a9"/>
    <w:uiPriority w:val="99"/>
    <w:unhideWhenUsed/>
    <w:rsid w:val="00814622"/>
    <w:pPr>
      <w:tabs>
        <w:tab w:val="center" w:pos="4677"/>
        <w:tab w:val="right" w:pos="9355"/>
      </w:tabs>
    </w:pPr>
  </w:style>
  <w:style w:type="character" w:customStyle="1" w:styleId="a9">
    <w:name w:val="Верхний колонтитул Знак"/>
    <w:basedOn w:val="a0"/>
    <w:link w:val="a8"/>
    <w:uiPriority w:val="99"/>
    <w:rsid w:val="0081462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14622"/>
    <w:pPr>
      <w:tabs>
        <w:tab w:val="center" w:pos="4677"/>
        <w:tab w:val="right" w:pos="9355"/>
      </w:tabs>
    </w:pPr>
  </w:style>
  <w:style w:type="character" w:customStyle="1" w:styleId="ab">
    <w:name w:val="Нижний колонтитул Знак"/>
    <w:basedOn w:val="a0"/>
    <w:link w:val="aa"/>
    <w:uiPriority w:val="99"/>
    <w:rsid w:val="00814622"/>
    <w:rPr>
      <w:rFonts w:ascii="Times New Roman" w:eastAsia="Times New Roman" w:hAnsi="Times New Roman" w:cs="Times New Roman"/>
      <w:sz w:val="24"/>
      <w:szCs w:val="24"/>
      <w:lang w:eastAsia="ru-RU"/>
    </w:rPr>
  </w:style>
  <w:style w:type="paragraph" w:customStyle="1" w:styleId="ConsPlusNormal">
    <w:name w:val="ConsPlusNormal"/>
    <w:rsid w:val="00D811E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No Spacing"/>
    <w:uiPriority w:val="1"/>
    <w:qFormat/>
    <w:rsid w:val="002D5AB2"/>
    <w:pPr>
      <w:spacing w:after="0" w:line="240" w:lineRule="auto"/>
    </w:pPr>
    <w:rPr>
      <w:rFonts w:ascii="Calibri" w:eastAsia="Calibri" w:hAnsi="Calibri" w:cs="Times New Roman"/>
    </w:rPr>
  </w:style>
  <w:style w:type="character" w:customStyle="1" w:styleId="apple-converted-space">
    <w:name w:val="apple-converted-space"/>
    <w:basedOn w:val="a0"/>
    <w:rsid w:val="00233C7C"/>
  </w:style>
  <w:style w:type="character" w:styleId="ad">
    <w:name w:val="Hyperlink"/>
    <w:basedOn w:val="a0"/>
    <w:uiPriority w:val="99"/>
    <w:semiHidden/>
    <w:unhideWhenUsed/>
    <w:rsid w:val="00E66333"/>
    <w:rPr>
      <w:color w:val="0000FF"/>
      <w:u w:val="single"/>
    </w:rPr>
  </w:style>
  <w:style w:type="paragraph" w:styleId="ae">
    <w:name w:val="Normal (Web)"/>
    <w:basedOn w:val="a"/>
    <w:uiPriority w:val="99"/>
    <w:unhideWhenUsed/>
    <w:rsid w:val="00F03AD6"/>
    <w:pPr>
      <w:spacing w:before="100" w:beforeAutospacing="1" w:after="100" w:afterAutospacing="1"/>
      <w:ind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850"/>
    <w:pPr>
      <w:spacing w:after="0" w:line="240" w:lineRule="auto"/>
      <w:ind w:firstLine="72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837A66"/>
    <w:pPr>
      <w:ind w:firstLine="0"/>
      <w:jc w:val="center"/>
    </w:pPr>
    <w:rPr>
      <w:sz w:val="28"/>
    </w:rPr>
  </w:style>
  <w:style w:type="character" w:customStyle="1" w:styleId="a4">
    <w:name w:val="Название Знак"/>
    <w:basedOn w:val="a0"/>
    <w:link w:val="a3"/>
    <w:uiPriority w:val="99"/>
    <w:rsid w:val="00837A66"/>
    <w:rPr>
      <w:rFonts w:ascii="Times New Roman" w:eastAsia="Times New Roman" w:hAnsi="Times New Roman" w:cs="Times New Roman"/>
      <w:sz w:val="28"/>
      <w:szCs w:val="24"/>
      <w:lang w:eastAsia="ru-RU"/>
    </w:rPr>
  </w:style>
  <w:style w:type="table" w:styleId="a5">
    <w:name w:val="Table Grid"/>
    <w:basedOn w:val="a1"/>
    <w:uiPriority w:val="59"/>
    <w:rsid w:val="00EB64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EB6430"/>
    <w:rPr>
      <w:lang w:val="pl-PL" w:eastAsia="pl-PL"/>
    </w:rPr>
  </w:style>
  <w:style w:type="paragraph" w:styleId="a7">
    <w:name w:val="List Paragraph"/>
    <w:basedOn w:val="a"/>
    <w:uiPriority w:val="34"/>
    <w:qFormat/>
    <w:rsid w:val="00120F05"/>
    <w:pPr>
      <w:ind w:left="720"/>
      <w:contextualSpacing/>
    </w:pPr>
  </w:style>
  <w:style w:type="paragraph" w:styleId="a8">
    <w:name w:val="header"/>
    <w:basedOn w:val="a"/>
    <w:link w:val="a9"/>
    <w:uiPriority w:val="99"/>
    <w:unhideWhenUsed/>
    <w:rsid w:val="00814622"/>
    <w:pPr>
      <w:tabs>
        <w:tab w:val="center" w:pos="4677"/>
        <w:tab w:val="right" w:pos="9355"/>
      </w:tabs>
    </w:pPr>
  </w:style>
  <w:style w:type="character" w:customStyle="1" w:styleId="a9">
    <w:name w:val="Верхний колонтитул Знак"/>
    <w:basedOn w:val="a0"/>
    <w:link w:val="a8"/>
    <w:uiPriority w:val="99"/>
    <w:rsid w:val="0081462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14622"/>
    <w:pPr>
      <w:tabs>
        <w:tab w:val="center" w:pos="4677"/>
        <w:tab w:val="right" w:pos="9355"/>
      </w:tabs>
    </w:pPr>
  </w:style>
  <w:style w:type="character" w:customStyle="1" w:styleId="ab">
    <w:name w:val="Нижний колонтитул Знак"/>
    <w:basedOn w:val="a0"/>
    <w:link w:val="aa"/>
    <w:uiPriority w:val="99"/>
    <w:rsid w:val="00814622"/>
    <w:rPr>
      <w:rFonts w:ascii="Times New Roman" w:eastAsia="Times New Roman" w:hAnsi="Times New Roman" w:cs="Times New Roman"/>
      <w:sz w:val="24"/>
      <w:szCs w:val="24"/>
      <w:lang w:eastAsia="ru-RU"/>
    </w:rPr>
  </w:style>
  <w:style w:type="paragraph" w:customStyle="1" w:styleId="ConsPlusNormal">
    <w:name w:val="ConsPlusNormal"/>
    <w:rsid w:val="00D811E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No Spacing"/>
    <w:uiPriority w:val="1"/>
    <w:qFormat/>
    <w:rsid w:val="002D5AB2"/>
    <w:pPr>
      <w:spacing w:after="0" w:line="240" w:lineRule="auto"/>
    </w:pPr>
    <w:rPr>
      <w:rFonts w:ascii="Calibri" w:eastAsia="Calibri" w:hAnsi="Calibri" w:cs="Times New Roman"/>
    </w:rPr>
  </w:style>
  <w:style w:type="character" w:customStyle="1" w:styleId="apple-converted-space">
    <w:name w:val="apple-converted-space"/>
    <w:basedOn w:val="a0"/>
    <w:rsid w:val="00233C7C"/>
  </w:style>
  <w:style w:type="character" w:styleId="ad">
    <w:name w:val="Hyperlink"/>
    <w:basedOn w:val="a0"/>
    <w:uiPriority w:val="99"/>
    <w:semiHidden/>
    <w:unhideWhenUsed/>
    <w:rsid w:val="00E66333"/>
    <w:rPr>
      <w:color w:val="0000FF"/>
      <w:u w:val="single"/>
    </w:rPr>
  </w:style>
  <w:style w:type="paragraph" w:styleId="ae">
    <w:name w:val="Normal (Web)"/>
    <w:basedOn w:val="a"/>
    <w:uiPriority w:val="99"/>
    <w:unhideWhenUsed/>
    <w:rsid w:val="00F03AD6"/>
    <w:pPr>
      <w:spacing w:before="100" w:beforeAutospacing="1" w:after="100" w:afterAutospacing="1"/>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13682">
      <w:bodyDiv w:val="1"/>
      <w:marLeft w:val="0"/>
      <w:marRight w:val="0"/>
      <w:marTop w:val="0"/>
      <w:marBottom w:val="0"/>
      <w:divBdr>
        <w:top w:val="none" w:sz="0" w:space="0" w:color="auto"/>
        <w:left w:val="none" w:sz="0" w:space="0" w:color="auto"/>
        <w:bottom w:val="none" w:sz="0" w:space="0" w:color="auto"/>
        <w:right w:val="none" w:sz="0" w:space="0" w:color="auto"/>
      </w:divBdr>
    </w:div>
    <w:div w:id="262225477">
      <w:bodyDiv w:val="1"/>
      <w:marLeft w:val="0"/>
      <w:marRight w:val="0"/>
      <w:marTop w:val="0"/>
      <w:marBottom w:val="0"/>
      <w:divBdr>
        <w:top w:val="none" w:sz="0" w:space="0" w:color="auto"/>
        <w:left w:val="none" w:sz="0" w:space="0" w:color="auto"/>
        <w:bottom w:val="none" w:sz="0" w:space="0" w:color="auto"/>
        <w:right w:val="none" w:sz="0" w:space="0" w:color="auto"/>
      </w:divBdr>
    </w:div>
    <w:div w:id="320431192">
      <w:bodyDiv w:val="1"/>
      <w:marLeft w:val="0"/>
      <w:marRight w:val="0"/>
      <w:marTop w:val="0"/>
      <w:marBottom w:val="0"/>
      <w:divBdr>
        <w:top w:val="none" w:sz="0" w:space="0" w:color="auto"/>
        <w:left w:val="none" w:sz="0" w:space="0" w:color="auto"/>
        <w:bottom w:val="none" w:sz="0" w:space="0" w:color="auto"/>
        <w:right w:val="none" w:sz="0" w:space="0" w:color="auto"/>
      </w:divBdr>
    </w:div>
    <w:div w:id="347759731">
      <w:bodyDiv w:val="1"/>
      <w:marLeft w:val="0"/>
      <w:marRight w:val="0"/>
      <w:marTop w:val="0"/>
      <w:marBottom w:val="0"/>
      <w:divBdr>
        <w:top w:val="none" w:sz="0" w:space="0" w:color="auto"/>
        <w:left w:val="none" w:sz="0" w:space="0" w:color="auto"/>
        <w:bottom w:val="none" w:sz="0" w:space="0" w:color="auto"/>
        <w:right w:val="none" w:sz="0" w:space="0" w:color="auto"/>
      </w:divBdr>
    </w:div>
    <w:div w:id="360859709">
      <w:bodyDiv w:val="1"/>
      <w:marLeft w:val="0"/>
      <w:marRight w:val="0"/>
      <w:marTop w:val="0"/>
      <w:marBottom w:val="0"/>
      <w:divBdr>
        <w:top w:val="none" w:sz="0" w:space="0" w:color="auto"/>
        <w:left w:val="none" w:sz="0" w:space="0" w:color="auto"/>
        <w:bottom w:val="none" w:sz="0" w:space="0" w:color="auto"/>
        <w:right w:val="none" w:sz="0" w:space="0" w:color="auto"/>
      </w:divBdr>
    </w:div>
    <w:div w:id="491993977">
      <w:bodyDiv w:val="1"/>
      <w:marLeft w:val="0"/>
      <w:marRight w:val="0"/>
      <w:marTop w:val="0"/>
      <w:marBottom w:val="0"/>
      <w:divBdr>
        <w:top w:val="none" w:sz="0" w:space="0" w:color="auto"/>
        <w:left w:val="none" w:sz="0" w:space="0" w:color="auto"/>
        <w:bottom w:val="none" w:sz="0" w:space="0" w:color="auto"/>
        <w:right w:val="none" w:sz="0" w:space="0" w:color="auto"/>
      </w:divBdr>
    </w:div>
    <w:div w:id="646321077">
      <w:bodyDiv w:val="1"/>
      <w:marLeft w:val="0"/>
      <w:marRight w:val="0"/>
      <w:marTop w:val="0"/>
      <w:marBottom w:val="0"/>
      <w:divBdr>
        <w:top w:val="none" w:sz="0" w:space="0" w:color="auto"/>
        <w:left w:val="none" w:sz="0" w:space="0" w:color="auto"/>
        <w:bottom w:val="none" w:sz="0" w:space="0" w:color="auto"/>
        <w:right w:val="none" w:sz="0" w:space="0" w:color="auto"/>
      </w:divBdr>
    </w:div>
    <w:div w:id="658465369">
      <w:bodyDiv w:val="1"/>
      <w:marLeft w:val="0"/>
      <w:marRight w:val="0"/>
      <w:marTop w:val="0"/>
      <w:marBottom w:val="0"/>
      <w:divBdr>
        <w:top w:val="none" w:sz="0" w:space="0" w:color="auto"/>
        <w:left w:val="none" w:sz="0" w:space="0" w:color="auto"/>
        <w:bottom w:val="none" w:sz="0" w:space="0" w:color="auto"/>
        <w:right w:val="none" w:sz="0" w:space="0" w:color="auto"/>
      </w:divBdr>
    </w:div>
    <w:div w:id="701201738">
      <w:bodyDiv w:val="1"/>
      <w:marLeft w:val="0"/>
      <w:marRight w:val="0"/>
      <w:marTop w:val="0"/>
      <w:marBottom w:val="0"/>
      <w:divBdr>
        <w:top w:val="none" w:sz="0" w:space="0" w:color="auto"/>
        <w:left w:val="none" w:sz="0" w:space="0" w:color="auto"/>
        <w:bottom w:val="none" w:sz="0" w:space="0" w:color="auto"/>
        <w:right w:val="none" w:sz="0" w:space="0" w:color="auto"/>
      </w:divBdr>
    </w:div>
    <w:div w:id="709188624">
      <w:bodyDiv w:val="1"/>
      <w:marLeft w:val="0"/>
      <w:marRight w:val="0"/>
      <w:marTop w:val="0"/>
      <w:marBottom w:val="0"/>
      <w:divBdr>
        <w:top w:val="none" w:sz="0" w:space="0" w:color="auto"/>
        <w:left w:val="none" w:sz="0" w:space="0" w:color="auto"/>
        <w:bottom w:val="none" w:sz="0" w:space="0" w:color="auto"/>
        <w:right w:val="none" w:sz="0" w:space="0" w:color="auto"/>
      </w:divBdr>
    </w:div>
    <w:div w:id="747196545">
      <w:bodyDiv w:val="1"/>
      <w:marLeft w:val="0"/>
      <w:marRight w:val="0"/>
      <w:marTop w:val="0"/>
      <w:marBottom w:val="0"/>
      <w:divBdr>
        <w:top w:val="none" w:sz="0" w:space="0" w:color="auto"/>
        <w:left w:val="none" w:sz="0" w:space="0" w:color="auto"/>
        <w:bottom w:val="none" w:sz="0" w:space="0" w:color="auto"/>
        <w:right w:val="none" w:sz="0" w:space="0" w:color="auto"/>
      </w:divBdr>
    </w:div>
    <w:div w:id="984746691">
      <w:bodyDiv w:val="1"/>
      <w:marLeft w:val="0"/>
      <w:marRight w:val="0"/>
      <w:marTop w:val="0"/>
      <w:marBottom w:val="0"/>
      <w:divBdr>
        <w:top w:val="none" w:sz="0" w:space="0" w:color="auto"/>
        <w:left w:val="none" w:sz="0" w:space="0" w:color="auto"/>
        <w:bottom w:val="none" w:sz="0" w:space="0" w:color="auto"/>
        <w:right w:val="none" w:sz="0" w:space="0" w:color="auto"/>
      </w:divBdr>
      <w:divsChild>
        <w:div w:id="184904860">
          <w:blockQuote w:val="1"/>
          <w:marLeft w:val="898"/>
          <w:marRight w:val="0"/>
          <w:marTop w:val="168"/>
          <w:marBottom w:val="168"/>
          <w:divBdr>
            <w:top w:val="none" w:sz="0" w:space="0" w:color="auto"/>
            <w:left w:val="none" w:sz="0" w:space="0" w:color="auto"/>
            <w:bottom w:val="none" w:sz="0" w:space="0" w:color="auto"/>
            <w:right w:val="none" w:sz="0" w:space="0" w:color="auto"/>
          </w:divBdr>
        </w:div>
      </w:divsChild>
    </w:div>
    <w:div w:id="1155222420">
      <w:bodyDiv w:val="1"/>
      <w:marLeft w:val="0"/>
      <w:marRight w:val="0"/>
      <w:marTop w:val="0"/>
      <w:marBottom w:val="0"/>
      <w:divBdr>
        <w:top w:val="none" w:sz="0" w:space="0" w:color="auto"/>
        <w:left w:val="none" w:sz="0" w:space="0" w:color="auto"/>
        <w:bottom w:val="none" w:sz="0" w:space="0" w:color="auto"/>
        <w:right w:val="none" w:sz="0" w:space="0" w:color="auto"/>
      </w:divBdr>
    </w:div>
    <w:div w:id="1162040622">
      <w:bodyDiv w:val="1"/>
      <w:marLeft w:val="0"/>
      <w:marRight w:val="0"/>
      <w:marTop w:val="0"/>
      <w:marBottom w:val="0"/>
      <w:divBdr>
        <w:top w:val="none" w:sz="0" w:space="0" w:color="auto"/>
        <w:left w:val="none" w:sz="0" w:space="0" w:color="auto"/>
        <w:bottom w:val="none" w:sz="0" w:space="0" w:color="auto"/>
        <w:right w:val="none" w:sz="0" w:space="0" w:color="auto"/>
      </w:divBdr>
    </w:div>
    <w:div w:id="1329938104">
      <w:bodyDiv w:val="1"/>
      <w:marLeft w:val="0"/>
      <w:marRight w:val="0"/>
      <w:marTop w:val="0"/>
      <w:marBottom w:val="0"/>
      <w:divBdr>
        <w:top w:val="none" w:sz="0" w:space="0" w:color="auto"/>
        <w:left w:val="none" w:sz="0" w:space="0" w:color="auto"/>
        <w:bottom w:val="none" w:sz="0" w:space="0" w:color="auto"/>
        <w:right w:val="none" w:sz="0" w:space="0" w:color="auto"/>
      </w:divBdr>
    </w:div>
    <w:div w:id="1373308569">
      <w:bodyDiv w:val="1"/>
      <w:marLeft w:val="0"/>
      <w:marRight w:val="0"/>
      <w:marTop w:val="0"/>
      <w:marBottom w:val="0"/>
      <w:divBdr>
        <w:top w:val="none" w:sz="0" w:space="0" w:color="auto"/>
        <w:left w:val="none" w:sz="0" w:space="0" w:color="auto"/>
        <w:bottom w:val="none" w:sz="0" w:space="0" w:color="auto"/>
        <w:right w:val="none" w:sz="0" w:space="0" w:color="auto"/>
      </w:divBdr>
    </w:div>
    <w:div w:id="1388139015">
      <w:bodyDiv w:val="1"/>
      <w:marLeft w:val="0"/>
      <w:marRight w:val="0"/>
      <w:marTop w:val="0"/>
      <w:marBottom w:val="0"/>
      <w:divBdr>
        <w:top w:val="none" w:sz="0" w:space="0" w:color="auto"/>
        <w:left w:val="none" w:sz="0" w:space="0" w:color="auto"/>
        <w:bottom w:val="none" w:sz="0" w:space="0" w:color="auto"/>
        <w:right w:val="none" w:sz="0" w:space="0" w:color="auto"/>
      </w:divBdr>
    </w:div>
    <w:div w:id="1581331352">
      <w:bodyDiv w:val="1"/>
      <w:marLeft w:val="0"/>
      <w:marRight w:val="0"/>
      <w:marTop w:val="0"/>
      <w:marBottom w:val="0"/>
      <w:divBdr>
        <w:top w:val="none" w:sz="0" w:space="0" w:color="auto"/>
        <w:left w:val="none" w:sz="0" w:space="0" w:color="auto"/>
        <w:bottom w:val="none" w:sz="0" w:space="0" w:color="auto"/>
        <w:right w:val="none" w:sz="0" w:space="0" w:color="auto"/>
      </w:divBdr>
    </w:div>
    <w:div w:id="1693796234">
      <w:bodyDiv w:val="1"/>
      <w:marLeft w:val="0"/>
      <w:marRight w:val="0"/>
      <w:marTop w:val="0"/>
      <w:marBottom w:val="0"/>
      <w:divBdr>
        <w:top w:val="none" w:sz="0" w:space="0" w:color="auto"/>
        <w:left w:val="none" w:sz="0" w:space="0" w:color="auto"/>
        <w:bottom w:val="none" w:sz="0" w:space="0" w:color="auto"/>
        <w:right w:val="none" w:sz="0" w:space="0" w:color="auto"/>
      </w:divBdr>
    </w:div>
    <w:div w:id="1809546403">
      <w:bodyDiv w:val="1"/>
      <w:marLeft w:val="0"/>
      <w:marRight w:val="0"/>
      <w:marTop w:val="0"/>
      <w:marBottom w:val="0"/>
      <w:divBdr>
        <w:top w:val="none" w:sz="0" w:space="0" w:color="auto"/>
        <w:left w:val="none" w:sz="0" w:space="0" w:color="auto"/>
        <w:bottom w:val="none" w:sz="0" w:space="0" w:color="auto"/>
        <w:right w:val="none" w:sz="0" w:space="0" w:color="auto"/>
      </w:divBdr>
    </w:div>
    <w:div w:id="1917006713">
      <w:bodyDiv w:val="1"/>
      <w:marLeft w:val="0"/>
      <w:marRight w:val="0"/>
      <w:marTop w:val="0"/>
      <w:marBottom w:val="0"/>
      <w:divBdr>
        <w:top w:val="none" w:sz="0" w:space="0" w:color="auto"/>
        <w:left w:val="none" w:sz="0" w:space="0" w:color="auto"/>
        <w:bottom w:val="none" w:sz="0" w:space="0" w:color="auto"/>
        <w:right w:val="none" w:sz="0" w:space="0" w:color="auto"/>
      </w:divBdr>
    </w:div>
    <w:div w:id="1978874296">
      <w:bodyDiv w:val="1"/>
      <w:marLeft w:val="0"/>
      <w:marRight w:val="0"/>
      <w:marTop w:val="0"/>
      <w:marBottom w:val="0"/>
      <w:divBdr>
        <w:top w:val="none" w:sz="0" w:space="0" w:color="auto"/>
        <w:left w:val="none" w:sz="0" w:space="0" w:color="auto"/>
        <w:bottom w:val="none" w:sz="0" w:space="0" w:color="auto"/>
        <w:right w:val="none" w:sz="0" w:space="0" w:color="auto"/>
      </w:divBdr>
    </w:div>
    <w:div w:id="1992977403">
      <w:bodyDiv w:val="1"/>
      <w:marLeft w:val="0"/>
      <w:marRight w:val="0"/>
      <w:marTop w:val="0"/>
      <w:marBottom w:val="0"/>
      <w:divBdr>
        <w:top w:val="none" w:sz="0" w:space="0" w:color="auto"/>
        <w:left w:val="none" w:sz="0" w:space="0" w:color="auto"/>
        <w:bottom w:val="none" w:sz="0" w:space="0" w:color="auto"/>
        <w:right w:val="none" w:sz="0" w:space="0" w:color="auto"/>
      </w:divBdr>
    </w:div>
    <w:div w:id="201899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4C884-4957-4ED5-85F4-F478F5293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1918</Words>
  <Characters>10937</Characters>
  <Application>Microsoft Office Word</Application>
  <DocSecurity>4</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 Н. Поручикова</dc:creator>
  <cp:lastModifiedBy>Елена Е. Филатова</cp:lastModifiedBy>
  <cp:revision>2</cp:revision>
  <cp:lastPrinted>2022-01-27T12:08:00Z</cp:lastPrinted>
  <dcterms:created xsi:type="dcterms:W3CDTF">2023-12-11T05:38:00Z</dcterms:created>
  <dcterms:modified xsi:type="dcterms:W3CDTF">2023-12-11T05:38:00Z</dcterms:modified>
</cp:coreProperties>
</file>