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964173" w:rsidRPr="00964173" w:rsidRDefault="00964173" w:rsidP="00466199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на информацию </w:t>
      </w:r>
      <w:r w:rsidR="00466199" w:rsidRPr="00466199">
        <w:rPr>
          <w:sz w:val="26"/>
          <w:szCs w:val="26"/>
        </w:rPr>
        <w:t>администрации городского округа Тольятти о проведенных мероприятиях и результатах проверок по осуществлению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 году</w:t>
      </w:r>
    </w:p>
    <w:p w:rsidR="00964173" w:rsidRDefault="00964173" w:rsidP="00964173">
      <w:pPr>
        <w:ind w:right="-23"/>
        <w:jc w:val="center"/>
        <w:rPr>
          <w:sz w:val="26"/>
          <w:szCs w:val="26"/>
        </w:rPr>
      </w:pPr>
    </w:p>
    <w:p w:rsidR="00DF6628" w:rsidRPr="000B3E94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(Д - </w:t>
      </w:r>
      <w:r w:rsidR="00466199">
        <w:rPr>
          <w:sz w:val="26"/>
          <w:szCs w:val="26"/>
        </w:rPr>
        <w:t>24</w:t>
      </w:r>
      <w:r w:rsidRPr="00964173">
        <w:rPr>
          <w:sz w:val="26"/>
          <w:szCs w:val="26"/>
        </w:rPr>
        <w:t xml:space="preserve"> от </w:t>
      </w:r>
      <w:r w:rsidR="00466199">
        <w:rPr>
          <w:sz w:val="26"/>
          <w:szCs w:val="26"/>
        </w:rPr>
        <w:t>01</w:t>
      </w:r>
      <w:r w:rsidRPr="00964173">
        <w:rPr>
          <w:sz w:val="26"/>
          <w:szCs w:val="26"/>
        </w:rPr>
        <w:t>.</w:t>
      </w:r>
      <w:r w:rsidR="00466199">
        <w:rPr>
          <w:sz w:val="26"/>
          <w:szCs w:val="26"/>
        </w:rPr>
        <w:t>0</w:t>
      </w:r>
      <w:r w:rsidR="00400355">
        <w:rPr>
          <w:sz w:val="26"/>
          <w:szCs w:val="26"/>
        </w:rPr>
        <w:t>2</w:t>
      </w:r>
      <w:r w:rsidRPr="00964173">
        <w:rPr>
          <w:sz w:val="26"/>
          <w:szCs w:val="26"/>
        </w:rPr>
        <w:t>.2023 г.)</w:t>
      </w:r>
    </w:p>
    <w:p w:rsidR="00DF6628" w:rsidRPr="000B3E94" w:rsidRDefault="00DF6628" w:rsidP="005A268A">
      <w:pPr>
        <w:ind w:right="-23"/>
        <w:jc w:val="center"/>
        <w:rPr>
          <w:b/>
          <w:sz w:val="26"/>
          <w:szCs w:val="26"/>
        </w:rPr>
      </w:pPr>
    </w:p>
    <w:p w:rsidR="00E5059C" w:rsidRPr="003516D7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3516D7">
        <w:rPr>
          <w:sz w:val="28"/>
          <w:szCs w:val="28"/>
        </w:rPr>
        <w:t xml:space="preserve">Рассмотрев представленные материалы, </w:t>
      </w:r>
      <w:r w:rsidR="00F66CC1" w:rsidRPr="003516D7">
        <w:rPr>
          <w:sz w:val="28"/>
          <w:szCs w:val="28"/>
        </w:rPr>
        <w:t>отмечае</w:t>
      </w:r>
      <w:r w:rsidR="00ED620C" w:rsidRPr="003516D7">
        <w:rPr>
          <w:sz w:val="28"/>
          <w:szCs w:val="28"/>
        </w:rPr>
        <w:t>м</w:t>
      </w:r>
      <w:r w:rsidR="00F66CC1" w:rsidRPr="003516D7">
        <w:rPr>
          <w:sz w:val="28"/>
          <w:szCs w:val="28"/>
        </w:rPr>
        <w:t xml:space="preserve"> следующее.</w:t>
      </w:r>
    </w:p>
    <w:p w:rsidR="007620A8" w:rsidRPr="007620A8" w:rsidRDefault="000D1671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D1671">
        <w:rPr>
          <w:sz w:val="28"/>
          <w:szCs w:val="28"/>
        </w:rPr>
        <w:t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утверждено решением Думы городского округа Тольятти от 24.11.2021 № 1111 (далее – Положение)</w:t>
      </w:r>
      <w:r w:rsidR="007620A8" w:rsidRPr="007620A8">
        <w:rPr>
          <w:sz w:val="28"/>
          <w:szCs w:val="28"/>
        </w:rPr>
        <w:t>.</w:t>
      </w:r>
    </w:p>
    <w:p w:rsidR="00277483" w:rsidRDefault="00277483" w:rsidP="00277483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277483">
        <w:rPr>
          <w:sz w:val="28"/>
          <w:szCs w:val="28"/>
        </w:rPr>
        <w:t xml:space="preserve"> </w:t>
      </w:r>
      <w:r w:rsidR="00255501">
        <w:rPr>
          <w:sz w:val="28"/>
          <w:szCs w:val="28"/>
        </w:rPr>
        <w:t>7</w:t>
      </w:r>
      <w:r w:rsidRPr="00277483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 xml:space="preserve">определены </w:t>
      </w:r>
      <w:r w:rsidRPr="00277483">
        <w:rPr>
          <w:sz w:val="28"/>
          <w:szCs w:val="28"/>
        </w:rPr>
        <w:t>предмет</w:t>
      </w:r>
      <w:r>
        <w:rPr>
          <w:sz w:val="28"/>
          <w:szCs w:val="28"/>
        </w:rPr>
        <w:t>ы</w:t>
      </w:r>
      <w:r w:rsidRPr="00277483">
        <w:rPr>
          <w:sz w:val="28"/>
          <w:szCs w:val="28"/>
        </w:rPr>
        <w:t xml:space="preserve"> муниципального контроля</w:t>
      </w:r>
      <w:r>
        <w:rPr>
          <w:sz w:val="28"/>
          <w:szCs w:val="28"/>
        </w:rPr>
        <w:t>.</w:t>
      </w:r>
    </w:p>
    <w:p w:rsidR="007620A8" w:rsidRDefault="007620A8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</w:t>
      </w:r>
      <w:r w:rsidR="000D1671">
        <w:rPr>
          <w:sz w:val="28"/>
          <w:szCs w:val="28"/>
        </w:rPr>
        <w:t>2</w:t>
      </w:r>
      <w:r w:rsidRPr="007620A8">
        <w:rPr>
          <w:sz w:val="28"/>
          <w:szCs w:val="28"/>
        </w:rPr>
        <w:t xml:space="preserve"> решения Думы от </w:t>
      </w:r>
      <w:r w:rsidR="000D1671">
        <w:rPr>
          <w:sz w:val="28"/>
          <w:szCs w:val="28"/>
        </w:rPr>
        <w:t>24</w:t>
      </w:r>
      <w:r w:rsidRPr="007620A8">
        <w:rPr>
          <w:sz w:val="28"/>
          <w:szCs w:val="28"/>
        </w:rPr>
        <w:t xml:space="preserve">.11.2021 № </w:t>
      </w:r>
      <w:r w:rsidR="000D1671">
        <w:rPr>
          <w:sz w:val="28"/>
          <w:szCs w:val="28"/>
        </w:rPr>
        <w:t>1111</w:t>
      </w:r>
      <w:r w:rsidRPr="007620A8">
        <w:rPr>
          <w:sz w:val="28"/>
          <w:szCs w:val="28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</w:t>
      </w:r>
      <w:r w:rsidR="000D1671" w:rsidRPr="000D1671">
        <w:rPr>
          <w:sz w:val="28"/>
          <w:szCs w:val="28"/>
        </w:rPr>
        <w:t>о проведенных мероприятиях по осуществлению муниципального контроля в предшествующем году по каждому объекту,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</w:t>
      </w:r>
      <w:r w:rsidRPr="007620A8">
        <w:rPr>
          <w:sz w:val="28"/>
          <w:szCs w:val="28"/>
        </w:rPr>
        <w:t>.</w:t>
      </w:r>
    </w:p>
    <w:p w:rsidR="000575B4" w:rsidRDefault="00804139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представленной информации администрации </w:t>
      </w:r>
      <w:r w:rsidR="000D1671">
        <w:rPr>
          <w:sz w:val="28"/>
          <w:szCs w:val="28"/>
        </w:rPr>
        <w:t>«</w:t>
      </w:r>
      <w:r w:rsidR="000D1671" w:rsidRPr="000D1671">
        <w:rPr>
          <w:sz w:val="28"/>
          <w:szCs w:val="28"/>
        </w:rPr>
        <w:t>В 2022 году администрацией городского округа Тольятти плановые и внеплановые проверки деятельности ЕТО не проводились, в связи с мораторием, введенным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</w:t>
      </w:r>
      <w:r w:rsidR="00243BDD">
        <w:rPr>
          <w:sz w:val="28"/>
          <w:szCs w:val="28"/>
        </w:rPr>
        <w:t>, следовательно</w:t>
      </w:r>
      <w:r w:rsidR="00C520F7">
        <w:rPr>
          <w:sz w:val="28"/>
          <w:szCs w:val="28"/>
        </w:rPr>
        <w:t>,</w:t>
      </w:r>
      <w:r w:rsidR="00243BDD">
        <w:rPr>
          <w:sz w:val="28"/>
          <w:szCs w:val="28"/>
        </w:rPr>
        <w:t xml:space="preserve"> </w:t>
      </w:r>
      <w:r w:rsidR="00243BDD" w:rsidRPr="00243BDD">
        <w:rPr>
          <w:sz w:val="28"/>
          <w:szCs w:val="28"/>
        </w:rPr>
        <w:t>ключевы</w:t>
      </w:r>
      <w:r w:rsidR="00243BDD">
        <w:rPr>
          <w:sz w:val="28"/>
          <w:szCs w:val="28"/>
        </w:rPr>
        <w:t>е</w:t>
      </w:r>
      <w:r w:rsidR="00243BDD" w:rsidRPr="00243BDD">
        <w:rPr>
          <w:sz w:val="28"/>
          <w:szCs w:val="28"/>
        </w:rPr>
        <w:t xml:space="preserve"> показател</w:t>
      </w:r>
      <w:r w:rsidR="00243BDD">
        <w:rPr>
          <w:sz w:val="28"/>
          <w:szCs w:val="28"/>
        </w:rPr>
        <w:t>и</w:t>
      </w:r>
      <w:r w:rsidR="00243BDD" w:rsidRPr="00243BDD">
        <w:rPr>
          <w:sz w:val="28"/>
          <w:szCs w:val="28"/>
        </w:rPr>
        <w:t xml:space="preserve"> результативности и эффективности муниципального контроля</w:t>
      </w:r>
      <w:r w:rsidR="00243BDD">
        <w:rPr>
          <w:sz w:val="28"/>
          <w:szCs w:val="28"/>
        </w:rPr>
        <w:t xml:space="preserve"> не применялись.</w:t>
      </w:r>
    </w:p>
    <w:p w:rsidR="000D1671" w:rsidRDefault="000D1671" w:rsidP="00243BD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D1671">
        <w:rPr>
          <w:sz w:val="28"/>
          <w:szCs w:val="28"/>
        </w:rPr>
        <w:t>остановлением администрации городского округа Тольятти от 15.12.2021 № 3791-п/1 утверждена 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на 2022 год.</w:t>
      </w:r>
    </w:p>
    <w:p w:rsidR="00ED465C" w:rsidRDefault="00243BDD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администрации размещен </w:t>
      </w:r>
      <w:r w:rsidR="00255501" w:rsidRPr="00255501">
        <w:rPr>
          <w:sz w:val="28"/>
          <w:szCs w:val="28"/>
        </w:rPr>
        <w:t>Доклад о правоприменительной практике осуществления муниципального контроля за исполнением единой теплоснабжающей организацией обяз</w:t>
      </w:r>
      <w:r w:rsidR="004822BC">
        <w:rPr>
          <w:sz w:val="28"/>
          <w:szCs w:val="28"/>
        </w:rPr>
        <w:t>а</w:t>
      </w:r>
      <w:r w:rsidR="00255501" w:rsidRPr="00255501">
        <w:rPr>
          <w:sz w:val="28"/>
          <w:szCs w:val="28"/>
        </w:rPr>
        <w:t xml:space="preserve">тельств по строительству, реконструкции </w:t>
      </w:r>
      <w:r w:rsidR="00255501" w:rsidRPr="00255501">
        <w:rPr>
          <w:sz w:val="28"/>
          <w:szCs w:val="28"/>
        </w:rPr>
        <w:lastRenderedPageBreak/>
        <w:t>и (или) модернизации объектов теплоснабжения в городском округе Тольятти за 2022 год.</w:t>
      </w:r>
      <w:r w:rsidR="00ED465C">
        <w:rPr>
          <w:sz w:val="28"/>
          <w:szCs w:val="28"/>
        </w:rPr>
        <w:t>, утвержденный распоряжением администрации городского округа Тольятти от 13.01.2023 №</w:t>
      </w:r>
      <w:r w:rsidR="00255501">
        <w:rPr>
          <w:sz w:val="28"/>
          <w:szCs w:val="28"/>
        </w:rPr>
        <w:t>109</w:t>
      </w:r>
      <w:r w:rsidR="00ED465C">
        <w:rPr>
          <w:sz w:val="28"/>
          <w:szCs w:val="28"/>
        </w:rPr>
        <w:t>-р/1.</w:t>
      </w:r>
      <w:r>
        <w:rPr>
          <w:sz w:val="28"/>
          <w:szCs w:val="28"/>
        </w:rPr>
        <w:t xml:space="preserve"> Согласно указанного доклада</w:t>
      </w:r>
      <w:r w:rsidR="00AC78A2">
        <w:rPr>
          <w:sz w:val="28"/>
          <w:szCs w:val="28"/>
        </w:rPr>
        <w:t>,</w:t>
      </w:r>
      <w:r>
        <w:rPr>
          <w:sz w:val="28"/>
          <w:szCs w:val="28"/>
        </w:rPr>
        <w:t xml:space="preserve"> «</w:t>
      </w:r>
      <w:r w:rsidRPr="00243BDD">
        <w:rPr>
          <w:sz w:val="28"/>
          <w:szCs w:val="28"/>
        </w:rPr>
        <w:t xml:space="preserve">плановые и внеплановые проверки в рамках муниципального контроля в течение 2022 года не проводились, </w:t>
      </w:r>
      <w:r w:rsidR="00255501">
        <w:rPr>
          <w:sz w:val="28"/>
          <w:szCs w:val="28"/>
        </w:rPr>
        <w:t xml:space="preserve">в связи с отсутствием оснований, предусмотренных  </w:t>
      </w:r>
      <w:r w:rsidR="00255501" w:rsidRPr="001219CD">
        <w:rPr>
          <w:sz w:val="28"/>
          <w:szCs w:val="28"/>
        </w:rPr>
        <w:t>Постановлени</w:t>
      </w:r>
      <w:r w:rsidR="00255501">
        <w:rPr>
          <w:sz w:val="28"/>
          <w:szCs w:val="28"/>
        </w:rPr>
        <w:t>ем №</w:t>
      </w:r>
      <w:r w:rsidR="00255501" w:rsidRPr="001219CD">
        <w:rPr>
          <w:sz w:val="28"/>
          <w:szCs w:val="28"/>
        </w:rPr>
        <w:t xml:space="preserve"> 336</w:t>
      </w:r>
      <w:r>
        <w:rPr>
          <w:sz w:val="28"/>
          <w:szCs w:val="28"/>
        </w:rPr>
        <w:t>»</w:t>
      </w:r>
      <w:r w:rsidRPr="00243BDD">
        <w:rPr>
          <w:sz w:val="28"/>
          <w:szCs w:val="28"/>
        </w:rPr>
        <w:t>.</w:t>
      </w:r>
    </w:p>
    <w:p w:rsidR="001219CD" w:rsidRDefault="00C520F7" w:rsidP="001219C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с</w:t>
      </w:r>
      <w:r w:rsidR="001219CD">
        <w:rPr>
          <w:sz w:val="28"/>
          <w:szCs w:val="28"/>
        </w:rPr>
        <w:t>огласно пп</w:t>
      </w:r>
      <w:r>
        <w:rPr>
          <w:sz w:val="28"/>
          <w:szCs w:val="28"/>
        </w:rPr>
        <w:t>.</w:t>
      </w:r>
      <w:r w:rsidR="001219CD">
        <w:rPr>
          <w:sz w:val="28"/>
          <w:szCs w:val="28"/>
        </w:rPr>
        <w:t xml:space="preserve"> а) п</w:t>
      </w:r>
      <w:r>
        <w:rPr>
          <w:sz w:val="28"/>
          <w:szCs w:val="28"/>
        </w:rPr>
        <w:t>.</w:t>
      </w:r>
      <w:r w:rsidR="001219CD">
        <w:rPr>
          <w:sz w:val="28"/>
          <w:szCs w:val="28"/>
        </w:rPr>
        <w:t xml:space="preserve"> 3 </w:t>
      </w:r>
      <w:r w:rsidR="001219CD" w:rsidRPr="001219CD">
        <w:rPr>
          <w:sz w:val="28"/>
          <w:szCs w:val="28"/>
        </w:rPr>
        <w:t>Постановлени</w:t>
      </w:r>
      <w:r w:rsidR="001219CD">
        <w:rPr>
          <w:sz w:val="28"/>
          <w:szCs w:val="28"/>
        </w:rPr>
        <w:t>я</w:t>
      </w:r>
      <w:r w:rsidR="001219CD" w:rsidRPr="001219CD">
        <w:rPr>
          <w:sz w:val="28"/>
          <w:szCs w:val="28"/>
        </w:rPr>
        <w:t xml:space="preserve"> Правительства РФ от 10.03.2022 </w:t>
      </w:r>
      <w:r w:rsidR="001219CD">
        <w:rPr>
          <w:sz w:val="28"/>
          <w:szCs w:val="28"/>
        </w:rPr>
        <w:t>№</w:t>
      </w:r>
      <w:r w:rsidR="001219CD" w:rsidRPr="001219CD">
        <w:rPr>
          <w:sz w:val="28"/>
          <w:szCs w:val="28"/>
        </w:rPr>
        <w:t xml:space="preserve"> 336</w:t>
      </w:r>
      <w:r w:rsidR="001219CD">
        <w:rPr>
          <w:sz w:val="28"/>
          <w:szCs w:val="28"/>
        </w:rPr>
        <w:t xml:space="preserve"> «</w:t>
      </w:r>
      <w:r w:rsidR="001219CD" w:rsidRPr="001219CD">
        <w:rPr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 w:rsidR="001219CD">
        <w:rPr>
          <w:sz w:val="28"/>
          <w:szCs w:val="28"/>
        </w:rPr>
        <w:t xml:space="preserve">» </w:t>
      </w:r>
      <w:r w:rsidR="001219CD" w:rsidRPr="001219CD">
        <w:rPr>
          <w:sz w:val="28"/>
          <w:szCs w:val="28"/>
        </w:rPr>
        <w:t>в 2022 - 2023 годах в рамках видов государственного контроля (надзора), муниципального контроля</w:t>
      </w:r>
      <w:r w:rsidR="001219CD">
        <w:rPr>
          <w:sz w:val="28"/>
          <w:szCs w:val="28"/>
        </w:rPr>
        <w:t xml:space="preserve"> </w:t>
      </w:r>
      <w:r w:rsidR="001219CD" w:rsidRPr="001219CD">
        <w:rPr>
          <w:sz w:val="28"/>
          <w:szCs w:val="28"/>
        </w:rPr>
        <w:t>внеплановые проверки проводятся исключительно по следующим основаниям:</w:t>
      </w:r>
      <w:r w:rsidR="001219CD">
        <w:rPr>
          <w:sz w:val="28"/>
          <w:szCs w:val="28"/>
        </w:rPr>
        <w:t xml:space="preserve"> </w:t>
      </w:r>
      <w:r w:rsidR="001219CD" w:rsidRPr="001219CD">
        <w:rPr>
          <w:sz w:val="28"/>
          <w:szCs w:val="28"/>
        </w:rPr>
        <w:t>при условии согласования с органами прокуратуры:</w:t>
      </w:r>
      <w:r w:rsidR="001219CD">
        <w:rPr>
          <w:sz w:val="28"/>
          <w:szCs w:val="28"/>
        </w:rPr>
        <w:t xml:space="preserve"> </w:t>
      </w:r>
      <w:r w:rsidR="001219CD" w:rsidRPr="00802A06">
        <w:rPr>
          <w:sz w:val="28"/>
          <w:szCs w:val="28"/>
          <w:u w:val="single"/>
        </w:rPr>
        <w:t>при выявлении индикаторов риска нарушения обязательных требований</w:t>
      </w:r>
      <w:r w:rsidR="001219CD">
        <w:rPr>
          <w:sz w:val="28"/>
          <w:szCs w:val="28"/>
        </w:rPr>
        <w:t>.</w:t>
      </w:r>
    </w:p>
    <w:p w:rsidR="001219CD" w:rsidRDefault="001219CD" w:rsidP="001219C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индикаторам риска нарушения обязательных требований</w:t>
      </w:r>
      <w:r w:rsidR="00FE6B44">
        <w:rPr>
          <w:sz w:val="28"/>
          <w:szCs w:val="28"/>
        </w:rPr>
        <w:t>, согласно Положения относятся, в том числе:</w:t>
      </w:r>
      <w:r>
        <w:rPr>
          <w:sz w:val="28"/>
          <w:szCs w:val="28"/>
        </w:rPr>
        <w:t xml:space="preserve"> </w:t>
      </w:r>
    </w:p>
    <w:p w:rsidR="00255501" w:rsidRPr="00255501" w:rsidRDefault="00255501" w:rsidP="00B02892">
      <w:pPr>
        <w:pStyle w:val="ad"/>
        <w:numPr>
          <w:ilvl w:val="0"/>
          <w:numId w:val="31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 w:rsidRPr="00255501">
        <w:rPr>
          <w:sz w:val="28"/>
          <w:szCs w:val="28"/>
        </w:rPr>
        <w:t>Две и более аварии, произошедшие на одних и тех же объектах теплоснабжения в течение 3 месяцев подряд.</w:t>
      </w:r>
    </w:p>
    <w:p w:rsidR="00255501" w:rsidRPr="00255501" w:rsidRDefault="00255501" w:rsidP="00B02892">
      <w:pPr>
        <w:pStyle w:val="ad"/>
        <w:numPr>
          <w:ilvl w:val="0"/>
          <w:numId w:val="31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 w:rsidRPr="00255501">
        <w:rPr>
          <w:sz w:val="28"/>
          <w:szCs w:val="28"/>
        </w:rPr>
        <w:t>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3 месяцев подряд.</w:t>
      </w:r>
    </w:p>
    <w:p w:rsidR="00255501" w:rsidRPr="00255501" w:rsidRDefault="00255501" w:rsidP="00B02892">
      <w:pPr>
        <w:pStyle w:val="ad"/>
        <w:numPr>
          <w:ilvl w:val="0"/>
          <w:numId w:val="31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 w:rsidRPr="00255501">
        <w:rPr>
          <w:sz w:val="28"/>
          <w:szCs w:val="28"/>
        </w:rPr>
        <w:t>Несоблюдение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255501" w:rsidRPr="00255501" w:rsidRDefault="00255501" w:rsidP="00B02892">
      <w:pPr>
        <w:pStyle w:val="ad"/>
        <w:numPr>
          <w:ilvl w:val="0"/>
          <w:numId w:val="31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 w:rsidRPr="00255501">
        <w:rPr>
          <w:sz w:val="28"/>
          <w:szCs w:val="28"/>
        </w:rPr>
        <w:t>Нарушение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</w:t>
      </w:r>
      <w:r>
        <w:rPr>
          <w:sz w:val="28"/>
          <w:szCs w:val="28"/>
        </w:rPr>
        <w:t xml:space="preserve"> </w:t>
      </w:r>
      <w:r w:rsidRPr="00255501">
        <w:rPr>
          <w:sz w:val="28"/>
          <w:szCs w:val="28"/>
        </w:rPr>
        <w:t>теплоснабжения, определенных для нее в схеме теплоснабжения.</w:t>
      </w:r>
    </w:p>
    <w:p w:rsidR="00562EE4" w:rsidRPr="00562EE4" w:rsidRDefault="00B02892" w:rsidP="00B02892">
      <w:pPr>
        <w:tabs>
          <w:tab w:val="left" w:pos="993"/>
          <w:tab w:val="left" w:pos="9072"/>
        </w:tabs>
        <w:ind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обратить внимание, что ПАО «Т-Плюс» в течени</w:t>
      </w:r>
      <w:r w:rsidR="005A46E5">
        <w:rPr>
          <w:sz w:val="28"/>
          <w:szCs w:val="28"/>
        </w:rPr>
        <w:t>е</w:t>
      </w:r>
      <w:r>
        <w:rPr>
          <w:sz w:val="28"/>
          <w:szCs w:val="28"/>
        </w:rPr>
        <w:t xml:space="preserve"> 2022 года проводились ремонтные работы на сетях теплоснабжения. В частности, на территории 15 </w:t>
      </w:r>
      <w:r w:rsidR="005A46E5">
        <w:rPr>
          <w:sz w:val="28"/>
          <w:szCs w:val="28"/>
        </w:rPr>
        <w:t xml:space="preserve">избирательного </w:t>
      </w:r>
      <w:r>
        <w:rPr>
          <w:sz w:val="28"/>
          <w:szCs w:val="28"/>
        </w:rPr>
        <w:t>округа жители неоднократно жаловались на длительный процесс капитального ремонта сетей и отсутствие в связи с эти</w:t>
      </w:r>
      <w:r w:rsidR="006B41BD">
        <w:rPr>
          <w:sz w:val="28"/>
          <w:szCs w:val="28"/>
        </w:rPr>
        <w:t>м</w:t>
      </w:r>
      <w:r>
        <w:rPr>
          <w:sz w:val="28"/>
          <w:szCs w:val="28"/>
        </w:rPr>
        <w:t xml:space="preserve"> горячего водоснабжения. В том числе, по устной информации ГЖИ, от жителей городского округа Тольятти неоднократно поступали и поступают жалобы на несоблюдение параметров теплоносителя.</w:t>
      </w:r>
    </w:p>
    <w:p w:rsidR="00FE6B44" w:rsidRPr="00AC78A2" w:rsidRDefault="00C520F7" w:rsidP="005C3BD4">
      <w:pPr>
        <w:tabs>
          <w:tab w:val="left" w:pos="9072"/>
        </w:tabs>
        <w:ind w:rightChars="-9" w:right="-22" w:firstLine="720"/>
        <w:jc w:val="both"/>
        <w:rPr>
          <w:b/>
          <w:sz w:val="28"/>
          <w:szCs w:val="28"/>
        </w:rPr>
      </w:pPr>
      <w:r w:rsidRPr="00AC78A2">
        <w:rPr>
          <w:b/>
          <w:sz w:val="28"/>
          <w:szCs w:val="28"/>
        </w:rPr>
        <w:t>Представляется</w:t>
      </w:r>
      <w:r w:rsidR="00AC78A2" w:rsidRPr="00AC78A2">
        <w:rPr>
          <w:b/>
          <w:sz w:val="28"/>
          <w:szCs w:val="28"/>
        </w:rPr>
        <w:t>, что вышеуказанные факты могли бы послужить индикаторам</w:t>
      </w:r>
      <w:r w:rsidR="00AC78A2">
        <w:rPr>
          <w:b/>
          <w:sz w:val="28"/>
          <w:szCs w:val="28"/>
        </w:rPr>
        <w:t>и</w:t>
      </w:r>
      <w:r w:rsidR="00AC78A2" w:rsidRPr="00AC78A2">
        <w:rPr>
          <w:b/>
          <w:sz w:val="28"/>
          <w:szCs w:val="28"/>
        </w:rPr>
        <w:t xml:space="preserve"> риска нарушения обязательных требований </w:t>
      </w:r>
      <w:r w:rsidR="00AC78A2">
        <w:rPr>
          <w:b/>
          <w:sz w:val="28"/>
          <w:szCs w:val="28"/>
        </w:rPr>
        <w:t xml:space="preserve">и </w:t>
      </w:r>
      <w:r w:rsidR="00AC78A2" w:rsidRPr="00AC78A2">
        <w:rPr>
          <w:b/>
          <w:sz w:val="28"/>
          <w:szCs w:val="28"/>
        </w:rPr>
        <w:t xml:space="preserve">основанием </w:t>
      </w:r>
      <w:r w:rsidR="00AC78A2" w:rsidRPr="00AC78A2">
        <w:rPr>
          <w:b/>
          <w:sz w:val="28"/>
          <w:szCs w:val="28"/>
        </w:rPr>
        <w:lastRenderedPageBreak/>
        <w:t>для проведения внеплановых проверок в рамках муниципального контроля.</w:t>
      </w:r>
    </w:p>
    <w:p w:rsidR="00FE6B44" w:rsidRDefault="00FE6B44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C75B4A" w:rsidRDefault="00577734" w:rsidP="006B41B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577734">
        <w:rPr>
          <w:b/>
          <w:sz w:val="28"/>
          <w:szCs w:val="28"/>
        </w:rPr>
        <w:t>Предлагаем администрации</w:t>
      </w:r>
      <w:r>
        <w:rPr>
          <w:sz w:val="28"/>
          <w:szCs w:val="28"/>
        </w:rPr>
        <w:t xml:space="preserve"> представить </w:t>
      </w:r>
      <w:r w:rsidR="00FE6B44">
        <w:rPr>
          <w:sz w:val="28"/>
          <w:szCs w:val="28"/>
        </w:rPr>
        <w:t>дополнительную информацию</w:t>
      </w:r>
      <w:r w:rsidR="006B41BD">
        <w:rPr>
          <w:sz w:val="28"/>
          <w:szCs w:val="28"/>
        </w:rPr>
        <w:t xml:space="preserve"> о к</w:t>
      </w:r>
      <w:r w:rsidR="00C75B4A" w:rsidRPr="00C75B4A">
        <w:rPr>
          <w:sz w:val="28"/>
          <w:szCs w:val="28"/>
        </w:rPr>
        <w:t>оличеств</w:t>
      </w:r>
      <w:r w:rsidR="006B41BD">
        <w:rPr>
          <w:sz w:val="28"/>
          <w:szCs w:val="28"/>
        </w:rPr>
        <w:t>е</w:t>
      </w:r>
      <w:r w:rsidR="00C75B4A" w:rsidRPr="00C75B4A">
        <w:rPr>
          <w:sz w:val="28"/>
          <w:szCs w:val="28"/>
        </w:rPr>
        <w:t xml:space="preserve"> </w:t>
      </w:r>
      <w:r w:rsidR="006B41BD">
        <w:rPr>
          <w:sz w:val="28"/>
          <w:szCs w:val="28"/>
        </w:rPr>
        <w:t xml:space="preserve">и характере </w:t>
      </w:r>
      <w:r w:rsidR="00C75B4A" w:rsidRPr="00C75B4A">
        <w:rPr>
          <w:sz w:val="28"/>
          <w:szCs w:val="28"/>
        </w:rPr>
        <w:t>обращений о нарушении обязательных требований, поступивших в уполномоченный орган за отчетный период</w:t>
      </w:r>
      <w:r w:rsidR="006B41BD">
        <w:rPr>
          <w:sz w:val="28"/>
          <w:szCs w:val="28"/>
        </w:rPr>
        <w:t>.</w:t>
      </w:r>
    </w:p>
    <w:p w:rsidR="009326A8" w:rsidRDefault="005103F9" w:rsidP="009326A8">
      <w:pPr>
        <w:tabs>
          <w:tab w:val="left" w:pos="9072"/>
        </w:tabs>
        <w:ind w:rightChars="-9" w:right="-22"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Также, у</w:t>
      </w:r>
      <w:r w:rsidR="00577734">
        <w:rPr>
          <w:sz w:val="28"/>
          <w:szCs w:val="28"/>
        </w:rPr>
        <w:t xml:space="preserve">читывая, что </w:t>
      </w:r>
      <w:r w:rsidR="00577734" w:rsidRPr="00577734">
        <w:rPr>
          <w:sz w:val="28"/>
          <w:szCs w:val="28"/>
        </w:rPr>
        <w:t xml:space="preserve">приоритетным направлением муниципального контроля </w:t>
      </w:r>
      <w:r w:rsidR="00577734">
        <w:rPr>
          <w:sz w:val="28"/>
          <w:szCs w:val="28"/>
        </w:rPr>
        <w:t>является</w:t>
      </w:r>
      <w:r w:rsidR="00577734" w:rsidRPr="00577734">
        <w:rPr>
          <w:sz w:val="28"/>
          <w:szCs w:val="28"/>
        </w:rPr>
        <w:t xml:space="preserve"> профилактическая работа с подконтрольными субъектами</w:t>
      </w:r>
      <w:r>
        <w:rPr>
          <w:sz w:val="28"/>
          <w:szCs w:val="28"/>
        </w:rPr>
        <w:t xml:space="preserve">, профилактика, </w:t>
      </w:r>
      <w:r w:rsidRPr="005103F9">
        <w:rPr>
          <w:sz w:val="28"/>
          <w:szCs w:val="28"/>
        </w:rPr>
        <w:t>предупреждение нарушений, минимизация рисков,</w:t>
      </w:r>
      <w:r>
        <w:rPr>
          <w:sz w:val="28"/>
          <w:szCs w:val="28"/>
        </w:rPr>
        <w:t xml:space="preserve"> </w:t>
      </w:r>
      <w:r w:rsidRPr="00DB3360">
        <w:rPr>
          <w:b/>
          <w:sz w:val="28"/>
          <w:szCs w:val="28"/>
        </w:rPr>
        <w:t xml:space="preserve">считаем целесообразным предложить администрации </w:t>
      </w:r>
      <w:r>
        <w:rPr>
          <w:sz w:val="28"/>
          <w:szCs w:val="28"/>
        </w:rPr>
        <w:t>систематизировать и представить информацию о наиболее часто встречающихся нарушениях законодательства</w:t>
      </w:r>
      <w:r w:rsidR="00243BDD">
        <w:rPr>
          <w:sz w:val="28"/>
          <w:szCs w:val="28"/>
        </w:rPr>
        <w:t xml:space="preserve"> (в том числе согласно поступивших жалоб граждан</w:t>
      </w:r>
      <w:r w:rsidR="009669AF">
        <w:rPr>
          <w:sz w:val="28"/>
          <w:szCs w:val="28"/>
        </w:rPr>
        <w:t>)</w:t>
      </w:r>
      <w:r w:rsidR="00243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E45F7">
        <w:rPr>
          <w:sz w:val="28"/>
          <w:szCs w:val="28"/>
        </w:rPr>
        <w:t xml:space="preserve">наличии </w:t>
      </w:r>
      <w:r w:rsidR="005E45F7" w:rsidRPr="009669AF">
        <w:rPr>
          <w:sz w:val="28"/>
          <w:szCs w:val="28"/>
        </w:rPr>
        <w:t xml:space="preserve">мероприятий по их профилактике в </w:t>
      </w:r>
      <w:r w:rsidR="009326A8" w:rsidRPr="009669AF">
        <w:rPr>
          <w:sz w:val="28"/>
          <w:szCs w:val="28"/>
        </w:rPr>
        <w:t>Программе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Самарской области на 2023 год (утв. Постановлением администрации городского округа Тольятти от 15.11.2022 № 2870-п/1)</w:t>
      </w:r>
      <w:r w:rsidR="004822BC" w:rsidRPr="009669AF">
        <w:rPr>
          <w:sz w:val="28"/>
          <w:szCs w:val="28"/>
        </w:rPr>
        <w:t xml:space="preserve"> (далее – Программа профилактики на 2023 год)</w:t>
      </w:r>
      <w:r w:rsidR="009326A8" w:rsidRPr="009669AF">
        <w:rPr>
          <w:sz w:val="28"/>
          <w:szCs w:val="28"/>
        </w:rPr>
        <w:t>.</w:t>
      </w:r>
    </w:p>
    <w:p w:rsidR="004822BC" w:rsidRPr="009669AF" w:rsidRDefault="004822BC" w:rsidP="009326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9669AF">
        <w:rPr>
          <w:sz w:val="28"/>
          <w:szCs w:val="28"/>
        </w:rPr>
        <w:t xml:space="preserve">Обращаем внимание, что в п 1.1 «Анализ текущего состояния осуществления муниципального контроля» Программы профилактики на 2023 год указано – «В настоящее время в г.о. Тольятти </w:t>
      </w:r>
      <w:r w:rsidRPr="009669AF">
        <w:rPr>
          <w:sz w:val="28"/>
          <w:szCs w:val="28"/>
          <w:u w:val="single"/>
        </w:rPr>
        <w:t>отсутствует</w:t>
      </w:r>
      <w:r w:rsidRPr="009669AF">
        <w:rPr>
          <w:sz w:val="28"/>
          <w:szCs w:val="28"/>
        </w:rPr>
        <w:t xml:space="preserve"> муниципальный контроль за ЕТО».</w:t>
      </w:r>
      <w:r w:rsidR="009669AF">
        <w:rPr>
          <w:sz w:val="28"/>
          <w:szCs w:val="28"/>
        </w:rPr>
        <w:t xml:space="preserve"> </w:t>
      </w:r>
      <w:r w:rsidR="009669AF" w:rsidRPr="009669AF">
        <w:rPr>
          <w:b/>
          <w:sz w:val="28"/>
          <w:szCs w:val="28"/>
        </w:rPr>
        <w:t>Предлагаем администрации</w:t>
      </w:r>
      <w:r w:rsidR="009669AF">
        <w:rPr>
          <w:sz w:val="28"/>
          <w:szCs w:val="28"/>
        </w:rPr>
        <w:t xml:space="preserve"> представить пояснения указанному утверждению.</w:t>
      </w:r>
    </w:p>
    <w:p w:rsidR="009326A8" w:rsidRPr="006B41BD" w:rsidRDefault="009326A8" w:rsidP="009326A8">
      <w:pPr>
        <w:tabs>
          <w:tab w:val="left" w:pos="9072"/>
        </w:tabs>
        <w:ind w:rightChars="-9" w:right="-22" w:firstLine="720"/>
        <w:jc w:val="both"/>
        <w:rPr>
          <w:color w:val="FF0000"/>
          <w:sz w:val="28"/>
          <w:szCs w:val="28"/>
        </w:rPr>
      </w:pPr>
    </w:p>
    <w:p w:rsidR="005E45F7" w:rsidRPr="005E45F7" w:rsidRDefault="005E45F7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825707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B2481" w:rsidRPr="00BA2003" w:rsidRDefault="005B2481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AC78A2">
      <w:pPr>
        <w:pStyle w:val="ad"/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6B41BD" w:rsidRPr="006B41BD">
        <w:rPr>
          <w:sz w:val="28"/>
          <w:szCs w:val="28"/>
        </w:rPr>
        <w:t>о проведенных мероприятиях и результатах проверок по осуществлению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 в городском округе Тольятти в 2022 году</w:t>
      </w:r>
      <w:r w:rsidR="006B41BD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782554">
        <w:rPr>
          <w:sz w:val="28"/>
          <w:szCs w:val="28"/>
        </w:rPr>
        <w:t xml:space="preserve"> с учетом настоящего заключения</w:t>
      </w:r>
      <w:r w:rsidR="00CF7C00" w:rsidRPr="00BA2003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Д.В.Замчевский</w:t>
      </w:r>
    </w:p>
    <w:sectPr w:rsidR="00F9133A" w:rsidRPr="00BA2003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BC" w:rsidRDefault="004822BC">
      <w:r>
        <w:separator/>
      </w:r>
    </w:p>
  </w:endnote>
  <w:endnote w:type="continuationSeparator" w:id="0">
    <w:p w:rsidR="004822BC" w:rsidRDefault="004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BC" w:rsidRDefault="004822BC">
      <w:r>
        <w:separator/>
      </w:r>
    </w:p>
  </w:footnote>
  <w:footnote w:type="continuationSeparator" w:id="0">
    <w:p w:rsidR="004822BC" w:rsidRDefault="00482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BC" w:rsidRDefault="004822B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22BC" w:rsidRDefault="004822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BC" w:rsidRDefault="004822B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72A8">
      <w:rPr>
        <w:rStyle w:val="a9"/>
        <w:noProof/>
      </w:rPr>
      <w:t>3</w:t>
    </w:r>
    <w:r>
      <w:rPr>
        <w:rStyle w:val="a9"/>
      </w:rPr>
      <w:fldChar w:fldCharType="end"/>
    </w:r>
  </w:p>
  <w:p w:rsidR="004822BC" w:rsidRDefault="004822B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F7678C"/>
    <w:multiLevelType w:val="hybridMultilevel"/>
    <w:tmpl w:val="3620F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FAC35D2"/>
    <w:multiLevelType w:val="hybridMultilevel"/>
    <w:tmpl w:val="E10AD7AA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914272C"/>
    <w:multiLevelType w:val="hybridMultilevel"/>
    <w:tmpl w:val="0A6C55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1D2FE0"/>
    <w:multiLevelType w:val="hybridMultilevel"/>
    <w:tmpl w:val="C5165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B7878"/>
    <w:multiLevelType w:val="hybridMultilevel"/>
    <w:tmpl w:val="C51E90CC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A36380"/>
    <w:multiLevelType w:val="hybridMultilevel"/>
    <w:tmpl w:val="0316C4CA"/>
    <w:lvl w:ilvl="0" w:tplc="885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3F598B"/>
    <w:multiLevelType w:val="hybridMultilevel"/>
    <w:tmpl w:val="62BC3B58"/>
    <w:lvl w:ilvl="0" w:tplc="D14A911C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BF66E54"/>
    <w:multiLevelType w:val="hybridMultilevel"/>
    <w:tmpl w:val="C6FE7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24"/>
  </w:num>
  <w:num w:numId="3">
    <w:abstractNumId w:val="7"/>
  </w:num>
  <w:num w:numId="4">
    <w:abstractNumId w:val="16"/>
  </w:num>
  <w:num w:numId="5">
    <w:abstractNumId w:val="5"/>
  </w:num>
  <w:num w:numId="6">
    <w:abstractNumId w:val="15"/>
  </w:num>
  <w:num w:numId="7">
    <w:abstractNumId w:val="1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8"/>
  </w:num>
  <w:num w:numId="15">
    <w:abstractNumId w:val="13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0"/>
  </w:num>
  <w:num w:numId="21">
    <w:abstractNumId w:val="22"/>
  </w:num>
  <w:num w:numId="22">
    <w:abstractNumId w:val="4"/>
  </w:num>
  <w:num w:numId="23">
    <w:abstractNumId w:val="20"/>
  </w:num>
  <w:num w:numId="24">
    <w:abstractNumId w:val="26"/>
  </w:num>
  <w:num w:numId="25">
    <w:abstractNumId w:val="21"/>
  </w:num>
  <w:num w:numId="26">
    <w:abstractNumId w:val="9"/>
  </w:num>
  <w:num w:numId="27">
    <w:abstractNumId w:val="3"/>
  </w:num>
  <w:num w:numId="28">
    <w:abstractNumId w:val="17"/>
  </w:num>
  <w:num w:numId="29">
    <w:abstractNumId w:val="19"/>
  </w:num>
  <w:num w:numId="30">
    <w:abstractNumId w:val="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575B4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1671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0C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9CD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3BDD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01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0B8A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6D7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355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199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22BC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2EE4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46E5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BD4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1BD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2A06"/>
    <w:rsid w:val="00804139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26A8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69AF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376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8A2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2892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0F7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B4A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17D7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4DC7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465C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2A8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B44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6A49-96D2-431C-992C-4FD036F7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5998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2023-02-13T04:35:00Z</dcterms:created>
  <dcterms:modified xsi:type="dcterms:W3CDTF">2023-02-13T04:35:00Z</dcterms:modified>
</cp:coreProperties>
</file>