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EEA" w:rsidRDefault="00824EEA" w:rsidP="00824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ЗАКЛЮЧЕНИЕ</w:t>
      </w:r>
    </w:p>
    <w:p w:rsidR="00824EEA" w:rsidRDefault="00824EEA" w:rsidP="00824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юридического отдела</w:t>
      </w:r>
    </w:p>
    <w:p w:rsidR="00824EEA" w:rsidRDefault="00824EEA" w:rsidP="00824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информацию администрации городского округа Тольятти </w:t>
      </w:r>
    </w:p>
    <w:p w:rsidR="00824EEA" w:rsidRDefault="00824EEA" w:rsidP="00824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реализации Календарного плана физкультурных мероприятий </w:t>
      </w:r>
    </w:p>
    <w:p w:rsidR="00824EEA" w:rsidRDefault="00824EEA" w:rsidP="00824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спортивных мероприятий городского округа Тольятти в 2023 году </w:t>
      </w:r>
    </w:p>
    <w:p w:rsidR="00824EEA" w:rsidRDefault="00824EEA" w:rsidP="00824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планах на 2024 год</w:t>
      </w:r>
    </w:p>
    <w:p w:rsidR="00824EEA" w:rsidRDefault="00824EEA" w:rsidP="00824EE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(Д-4 от 16.01.2024)</w:t>
      </w:r>
    </w:p>
    <w:p w:rsidR="00824EEA" w:rsidRDefault="00824EEA" w:rsidP="00824EEA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Рассмотрев информацию администрации городского округа Тольятти о реализации Календарного плана физкультурных мероприятий и спортивных мероприятий городского округа Тольятти в 202</w:t>
      </w:r>
      <w:r w:rsidR="007A51C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году и план</w:t>
      </w:r>
      <w:r w:rsidR="007A51C1">
        <w:rPr>
          <w:rFonts w:ascii="Times New Roman" w:hAnsi="Times New Roman"/>
          <w:sz w:val="26"/>
          <w:szCs w:val="26"/>
        </w:rPr>
        <w:t>ах</w:t>
      </w:r>
      <w:r>
        <w:rPr>
          <w:rFonts w:ascii="Times New Roman" w:hAnsi="Times New Roman"/>
          <w:sz w:val="26"/>
          <w:szCs w:val="26"/>
        </w:rPr>
        <w:t xml:space="preserve"> на 202</w:t>
      </w:r>
      <w:r w:rsidR="007A51C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год, отмечаем следующее.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Согласно пункту 19 части 1 статьи 16 Федерального закона от 06.10.2003 </w:t>
      </w:r>
      <w:r>
        <w:rPr>
          <w:rFonts w:ascii="Times New Roman" w:hAnsi="Times New Roman"/>
          <w:sz w:val="26"/>
          <w:szCs w:val="26"/>
        </w:rPr>
        <w:br/>
        <w:t>№ 131-ФЗ «Об общих принципах организации местного самоуправления в РФ» 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 относится к вопросам местного значения городского округа.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>Согласно статье 9 Федерального закона от 04.12.2007 № 329-ФЗ «О физической культуре и спорте в Российской Федерации» (далее – Федеральный закон №329-ФЗ) в</w:t>
      </w:r>
      <w:r>
        <w:rPr>
          <w:rFonts w:ascii="Times New Roman" w:hAnsi="Times New Roman"/>
          <w:sz w:val="26"/>
        </w:rPr>
        <w:t xml:space="preserve">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-определение основных задач и направлений развития физической культуры и спорта с учетом местных условий и возможностей, принятие и реализация муниципальных программ развития физической культуры и спорта;</w:t>
      </w:r>
    </w:p>
    <w:p w:rsidR="00824EEA" w:rsidRDefault="00755925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 w:rsidRPr="00755925">
        <w:rPr>
          <w:rFonts w:ascii="Times New Roman" w:hAnsi="Times New Roman"/>
          <w:sz w:val="26"/>
        </w:rPr>
        <w:t>содействие развитию и обеспечению доступности массового спорта, развитие детско-юношеского спорта (включая школьный спорт) на территориях муниципальных образований;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присвоение спортивных разрядов и квалификационных категорий спортивных судей в соответствии со статьей 22 указанного Федерального закона;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популяризация физической культуры и спорта среди различных групп населения, в том числе среди инвалидов, лиц с ограниченными возможностями здоровья;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а) утверждение и реализация календарных планов физкультурных мероприятий и спортивных мероприятий муниципальных образований, </w:t>
      </w:r>
      <w:r>
        <w:rPr>
          <w:rFonts w:ascii="Times New Roman" w:hAnsi="Times New Roman"/>
          <w:sz w:val="26"/>
        </w:rPr>
        <w:lastRenderedPageBreak/>
        <w:t>включающих в себя физкультурные мероприятия и спортивные мероприятия по реализации комплекса ГТО;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содействие в рамках своих полномочий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создание условий для подготовки спортивных сборных команд муниципальных образований, определение видов спорта, по которым могут формироваться спортивные сборные команды муниципальных образований, утверждение порядка формирования и обеспечения таких команд, направление их для участия в межмуниципальных и региональных спортивных соревнованиях;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участие в обеспечении подготовки спортивного резерва для спортивных сборных команд муниципальных образований, субъектов Российской Федерации;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наделение некоммерческих организаций правом по оценке выполнения нормативов испытаний (тестов) комплекса ГТО;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824EEA" w:rsidRDefault="00824EEA" w:rsidP="00824EEA">
      <w:pPr>
        <w:spacing w:after="1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Кроме того, в соответствии со статьей 9.1 Федерального закона №329-ФЗ органы местного самоуправления имеют право:</w:t>
      </w:r>
    </w:p>
    <w:p w:rsidR="00824EEA" w:rsidRDefault="00824EEA" w:rsidP="00824EEA">
      <w:pPr>
        <w:spacing w:after="1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-участвовать в организации и проведении межмуниципальных, региональных, межрегиональных, всероссийских и международных спортивных соревнований, физкультурных мероприятий и учебно-тренировочных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территориях муниципальных образований;</w:t>
      </w:r>
    </w:p>
    <w:p w:rsidR="00824EEA" w:rsidRDefault="00824EEA" w:rsidP="00824EEA">
      <w:pPr>
        <w:spacing w:after="1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-участвовать в реализации мероприятий по выдвижению Российской Федерации, городов Российской Федерации в качестве кандидатов на право проведения на территориях муниципальных образований международных физкультурных мероприятий и спортивных мероприятий;</w:t>
      </w:r>
    </w:p>
    <w:p w:rsidR="00824EEA" w:rsidRDefault="00824EEA" w:rsidP="00824EEA">
      <w:pPr>
        <w:spacing w:after="1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-оказывать содействие субъектам физической культуры и спорта, осуществляющим свою деятельность на территориях муниципальных образований;</w:t>
      </w:r>
    </w:p>
    <w:p w:rsidR="00824EEA" w:rsidRDefault="00824EEA" w:rsidP="00824EEA">
      <w:pPr>
        <w:spacing w:after="1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создавать центры тестирования по выполнению нормативов испытаний (тестов) комплекса ГТО в форме некоммерческих организаций;</w:t>
      </w:r>
    </w:p>
    <w:p w:rsidR="00824EEA" w:rsidRDefault="00824EEA" w:rsidP="00824EEA">
      <w:pPr>
        <w:spacing w:after="1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оказывать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824EEA" w:rsidRDefault="00824EEA" w:rsidP="00824EEA">
      <w:pPr>
        <w:spacing w:after="1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Правовые, организационные и социальные основы в области физической культуры и спорта на территории Самарской области для обеспечения развития общественных отношений в области физической культуры и спорта, в том числе в целях использования физической культуры и спорта как средства укрепления </w:t>
      </w:r>
      <w:r>
        <w:rPr>
          <w:rFonts w:ascii="Times New Roman" w:hAnsi="Times New Roman"/>
          <w:sz w:val="26"/>
        </w:rPr>
        <w:lastRenderedPageBreak/>
        <w:t>здоровья, формирования потребностей личности в физическом и нравственном совершенствовании, воспитания подрастающего поколения установлены Законом Самарской области от 08.12.2014 № 123-ГД «О физической культуре и спорте в Самарской области».</w:t>
      </w:r>
    </w:p>
    <w:p w:rsidR="00824EEA" w:rsidRDefault="00824EEA" w:rsidP="00824EE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со статьей 10 указанного Закона Самарской области, документом, определяющим перечень областных и межмуниципальных физкультурных мероприятий, спортивных мероприятий, а также спортивно-зрелищных мероприятий Самарской области,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обороне», является Календарный план областных и межмуниципальных физкультурных мероприятий и спортивных мероприятий, а также спортивно-зрелищных мероприятий Самарской области.</w:t>
      </w:r>
    </w:p>
    <w:p w:rsidR="00824EEA" w:rsidRDefault="00824EEA" w:rsidP="00824EE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информацией, размещенной на сайте администрации городского округа Тольятти, Календарный план физкультурных мероприятий и спортивных мероприятий городского округа Тольятти на 202</w:t>
      </w:r>
      <w:r w:rsidR="00E86C6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 утвержден постановлением администрации от </w:t>
      </w:r>
      <w:r w:rsidR="00E86C64">
        <w:rPr>
          <w:rFonts w:ascii="Times New Roman" w:hAnsi="Times New Roman"/>
          <w:sz w:val="26"/>
          <w:szCs w:val="26"/>
        </w:rPr>
        <w:t>07</w:t>
      </w:r>
      <w:r>
        <w:rPr>
          <w:rFonts w:ascii="Times New Roman" w:hAnsi="Times New Roman"/>
          <w:sz w:val="26"/>
          <w:szCs w:val="26"/>
        </w:rPr>
        <w:t>.1</w:t>
      </w:r>
      <w:r w:rsidR="00E86C64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202</w:t>
      </w:r>
      <w:r w:rsidR="00E86C64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E86C64">
        <w:rPr>
          <w:rFonts w:ascii="Times New Roman" w:hAnsi="Times New Roman"/>
          <w:sz w:val="26"/>
          <w:szCs w:val="26"/>
        </w:rPr>
        <w:t>3033</w:t>
      </w:r>
      <w:r>
        <w:rPr>
          <w:rFonts w:ascii="Times New Roman" w:hAnsi="Times New Roman"/>
          <w:sz w:val="26"/>
          <w:szCs w:val="26"/>
        </w:rPr>
        <w:t>-п/1 (далее  - Календарный план). В него включены массовые физкультурные и спортивные мероприятия, а также спортивные соревнования по видам спорта, в которых принимают участие спортсмены и любители,</w:t>
      </w:r>
      <w:r w:rsidR="00E86C64">
        <w:rPr>
          <w:rFonts w:ascii="Times New Roman" w:hAnsi="Times New Roman"/>
          <w:sz w:val="26"/>
          <w:szCs w:val="26"/>
        </w:rPr>
        <w:t xml:space="preserve"> лица с ОВЗ,</w:t>
      </w:r>
      <w:r>
        <w:rPr>
          <w:rFonts w:ascii="Times New Roman" w:hAnsi="Times New Roman"/>
          <w:sz w:val="26"/>
          <w:szCs w:val="26"/>
        </w:rPr>
        <w:t xml:space="preserve"> при условии, если это не противоречит регламенту соревнований.</w:t>
      </w:r>
    </w:p>
    <w:p w:rsidR="00E86C64" w:rsidRDefault="00E86C64" w:rsidP="00824EE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6C64">
        <w:rPr>
          <w:rFonts w:ascii="Times New Roman" w:hAnsi="Times New Roman"/>
          <w:sz w:val="26"/>
          <w:szCs w:val="26"/>
        </w:rPr>
        <w:t>В рамках Календарного плана на 2024 год запланировано 324 мероприятия с количеством запланированных участников более 85 000 человек.</w:t>
      </w:r>
    </w:p>
    <w:p w:rsidR="00E86C64" w:rsidRDefault="00824EEA" w:rsidP="00824EEA">
      <w:pPr>
        <w:pStyle w:val="a3"/>
        <w:spacing w:line="276" w:lineRule="auto"/>
        <w:ind w:firstLine="708"/>
        <w:jc w:val="both"/>
      </w:pPr>
      <w:r>
        <w:rPr>
          <w:rFonts w:ascii="Times New Roman" w:hAnsi="Times New Roman"/>
          <w:sz w:val="26"/>
          <w:szCs w:val="26"/>
        </w:rPr>
        <w:t>В соответствии с Календарным планом</w:t>
      </w:r>
      <w:r>
        <w:t xml:space="preserve"> </w:t>
      </w:r>
      <w:r>
        <w:rPr>
          <w:rFonts w:ascii="Times New Roman" w:hAnsi="Times New Roman"/>
          <w:sz w:val="26"/>
          <w:szCs w:val="26"/>
        </w:rPr>
        <w:t>физкультурных мероприятий и спортивных мероприятий городского округа Тольятти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на 202</w:t>
      </w:r>
      <w:r w:rsidR="00E86C64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год, утвержденным постановлением администрации от </w:t>
      </w:r>
      <w:r w:rsidR="00E86C64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>.10.202</w:t>
      </w:r>
      <w:r w:rsidR="00E86C64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E86C64">
        <w:rPr>
          <w:rFonts w:ascii="Times New Roman" w:hAnsi="Times New Roman"/>
          <w:sz w:val="26"/>
          <w:szCs w:val="26"/>
        </w:rPr>
        <w:t>2471</w:t>
      </w:r>
      <w:r>
        <w:rPr>
          <w:rFonts w:ascii="Times New Roman" w:hAnsi="Times New Roman"/>
          <w:sz w:val="26"/>
          <w:szCs w:val="26"/>
        </w:rPr>
        <w:t>-п/1</w:t>
      </w:r>
      <w:r w:rsidR="00755925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на территории городского округа Тольятти в 202</w:t>
      </w:r>
      <w:r w:rsidR="00E86C64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году реализовано </w:t>
      </w:r>
      <w:r w:rsidR="00E86C64">
        <w:rPr>
          <w:rFonts w:ascii="Times New Roman" w:hAnsi="Times New Roman"/>
          <w:sz w:val="26"/>
          <w:szCs w:val="26"/>
        </w:rPr>
        <w:t>327 спортивных мероприятий</w:t>
      </w:r>
      <w:r>
        <w:rPr>
          <w:rFonts w:ascii="Times New Roman" w:hAnsi="Times New Roman"/>
          <w:sz w:val="26"/>
          <w:szCs w:val="26"/>
        </w:rPr>
        <w:t xml:space="preserve">, в которых приняло участие </w:t>
      </w:r>
      <w:r w:rsidR="00E86C64">
        <w:rPr>
          <w:rFonts w:ascii="Times New Roman" w:hAnsi="Times New Roman"/>
          <w:sz w:val="26"/>
          <w:szCs w:val="26"/>
        </w:rPr>
        <w:t>117567</w:t>
      </w:r>
      <w:r>
        <w:rPr>
          <w:rFonts w:ascii="Times New Roman" w:hAnsi="Times New Roman"/>
          <w:sz w:val="26"/>
          <w:szCs w:val="26"/>
        </w:rPr>
        <w:t xml:space="preserve"> человек.</w:t>
      </w:r>
      <w:r w:rsidR="00E86C64" w:rsidRPr="00E86C64">
        <w:t xml:space="preserve"> </w:t>
      </w:r>
    </w:p>
    <w:p w:rsidR="00824EEA" w:rsidRDefault="00E86C64" w:rsidP="00824EE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6C64">
        <w:rPr>
          <w:rFonts w:ascii="Times New Roman" w:hAnsi="Times New Roman"/>
          <w:sz w:val="26"/>
          <w:szCs w:val="26"/>
        </w:rPr>
        <w:t>В 2023 году было проведено 225 соревнований по 55 видам спорта с участием 44 688 человек.</w:t>
      </w:r>
    </w:p>
    <w:p w:rsidR="00824EEA" w:rsidRDefault="00824EEA" w:rsidP="00824EE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Основной целью проведения физкультурно-спортивных мероприятий является привлечение как можно большего количества жителей к систематическим занятиям физической культурой и спортом.</w:t>
      </w:r>
    </w:p>
    <w:p w:rsidR="00824EEA" w:rsidRDefault="00824EEA" w:rsidP="00824EEA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824EEA" w:rsidRDefault="00824EEA" w:rsidP="00824E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2 статьи 77 </w:t>
      </w:r>
      <w:r>
        <w:rPr>
          <w:rFonts w:ascii="Times New Roman" w:eastAsia="Arial Unicode MS" w:hAnsi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>
        <w:rPr>
          <w:rFonts w:ascii="Times New Roman" w:hAnsi="Times New Roman"/>
          <w:sz w:val="26"/>
          <w:szCs w:val="26"/>
          <w:lang w:eastAsia="ru-RU"/>
        </w:rPr>
        <w:t xml:space="preserve"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полномочий по решению вопросов местного значения принимается решение Думы или вносится запись в протокол заседания Думы.</w:t>
      </w:r>
    </w:p>
    <w:p w:rsidR="00824EEA" w:rsidRDefault="00824EEA" w:rsidP="00824E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Согласно статье 137 Регламента Думы р</w:t>
      </w:r>
      <w:r>
        <w:rPr>
          <w:rFonts w:ascii="Times New Roman" w:hAnsi="Times New Roman"/>
          <w:iCs/>
          <w:sz w:val="26"/>
          <w:szCs w:val="26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Планом текущей деятельности Думы на I квартал 202</w:t>
      </w:r>
      <w:r w:rsidR="00E86C64">
        <w:rPr>
          <w:rFonts w:ascii="Times New Roman" w:eastAsia="Arial Unicode MS" w:hAnsi="Times New Roman"/>
          <w:sz w:val="26"/>
          <w:szCs w:val="26"/>
        </w:rPr>
        <w:t>4</w:t>
      </w:r>
      <w:r>
        <w:rPr>
          <w:rFonts w:ascii="Times New Roman" w:eastAsia="Arial Unicode MS" w:hAnsi="Times New Roman"/>
          <w:sz w:val="26"/>
          <w:szCs w:val="26"/>
        </w:rPr>
        <w:t xml:space="preserve"> года, утвержденным решением Думы </w:t>
      </w:r>
      <w:r w:rsidR="00E86C64" w:rsidRPr="00E86C64">
        <w:rPr>
          <w:rFonts w:ascii="Times New Roman" w:eastAsia="Arial Unicode MS" w:hAnsi="Times New Roman"/>
          <w:sz w:val="26"/>
          <w:szCs w:val="26"/>
        </w:rPr>
        <w:t>от 20.12.2023 №104</w:t>
      </w:r>
      <w:r>
        <w:rPr>
          <w:rFonts w:ascii="Times New Roman" w:eastAsia="Arial Unicode MS" w:hAnsi="Times New Roman"/>
          <w:sz w:val="26"/>
          <w:szCs w:val="26"/>
        </w:rPr>
        <w:t>, рассмотрение представленного вопроса запланировано на заседании Думы городского округа Тольятти  2</w:t>
      </w:r>
      <w:r w:rsidR="00E86C64">
        <w:rPr>
          <w:rFonts w:ascii="Times New Roman" w:eastAsia="Arial Unicode MS" w:hAnsi="Times New Roman"/>
          <w:sz w:val="26"/>
          <w:szCs w:val="26"/>
        </w:rPr>
        <w:t>4</w:t>
      </w:r>
      <w:r>
        <w:rPr>
          <w:rFonts w:ascii="Times New Roman" w:eastAsia="Arial Unicode MS" w:hAnsi="Times New Roman"/>
          <w:sz w:val="26"/>
          <w:szCs w:val="26"/>
        </w:rPr>
        <w:t>.01.202</w:t>
      </w:r>
      <w:r w:rsidR="00E86C64">
        <w:rPr>
          <w:rFonts w:ascii="Times New Roman" w:eastAsia="Arial Unicode MS" w:hAnsi="Times New Roman"/>
          <w:sz w:val="26"/>
          <w:szCs w:val="26"/>
        </w:rPr>
        <w:t>4</w:t>
      </w:r>
      <w:r>
        <w:rPr>
          <w:rFonts w:ascii="Times New Roman" w:eastAsia="Arial Unicode MS" w:hAnsi="Times New Roman"/>
          <w:sz w:val="26"/>
          <w:szCs w:val="26"/>
        </w:rPr>
        <w:t>.</w:t>
      </w:r>
    </w:p>
    <w:p w:rsidR="00824EEA" w:rsidRDefault="00824EEA" w:rsidP="00824E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В соответствии с частью 1 статьи 141 Регламента Думы к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</w:t>
      </w:r>
      <w:r w:rsidR="00E86C64">
        <w:rPr>
          <w:rFonts w:ascii="Times New Roman" w:hAnsi="Times New Roman"/>
          <w:iCs/>
          <w:sz w:val="26"/>
          <w:szCs w:val="26"/>
          <w:lang w:eastAsia="ru-RU"/>
        </w:rPr>
        <w:t xml:space="preserve">городского округа </w:t>
      </w:r>
      <w:r>
        <w:rPr>
          <w:rFonts w:ascii="Times New Roman" w:hAnsi="Times New Roman"/>
          <w:iCs/>
          <w:sz w:val="26"/>
          <w:szCs w:val="26"/>
          <w:lang w:eastAsia="ru-RU"/>
        </w:rPr>
        <w:t>и администрации.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Рассматриваемый вопрос относится к предметам ведения постоянной комиссии по социальной политике. </w:t>
      </w:r>
    </w:p>
    <w:p w:rsidR="00824EEA" w:rsidRDefault="00824EEA" w:rsidP="00824EE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Вывод:</w:t>
      </w:r>
      <w:r>
        <w:rPr>
          <w:rFonts w:ascii="Times New Roman" w:hAnsi="Times New Roman"/>
          <w:sz w:val="26"/>
          <w:szCs w:val="26"/>
        </w:rPr>
        <w:t xml:space="preserve"> представленный вопрос относится к компетенции Думы и может быть рассмотрен на ее заседании.</w:t>
      </w:r>
    </w:p>
    <w:p w:rsidR="00824EEA" w:rsidRDefault="00824EEA" w:rsidP="00824EE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>
        <w:rPr>
          <w:rFonts w:ascii="Times New Roman" w:hAnsi="Times New Roman"/>
          <w:b/>
          <w:sz w:val="26"/>
          <w:szCs w:val="26"/>
        </w:rPr>
        <w:tab/>
        <w:t xml:space="preserve">  </w:t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</w:t>
      </w:r>
      <w:r>
        <w:rPr>
          <w:rFonts w:ascii="Times New Roman" w:hAnsi="Times New Roman"/>
          <w:b/>
          <w:sz w:val="26"/>
          <w:szCs w:val="26"/>
        </w:rPr>
        <w:tab/>
        <w:t xml:space="preserve">         Е.В.Смирнова</w:t>
      </w: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24EEA" w:rsidRDefault="00824EEA" w:rsidP="00824EE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Абросимова</w:t>
      </w:r>
    </w:p>
    <w:p w:rsidR="00824EEA" w:rsidRDefault="00824EEA" w:rsidP="00824EEA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28 06 68</w:t>
      </w:r>
    </w:p>
    <w:p w:rsidR="004D27E7" w:rsidRDefault="004D27E7"/>
    <w:sectPr w:rsidR="004D27E7" w:rsidSect="000D451D">
      <w:pgSz w:w="11909" w:h="16834"/>
      <w:pgMar w:top="1021" w:right="851" w:bottom="1134" w:left="1701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EEA"/>
    <w:rsid w:val="00037B0D"/>
    <w:rsid w:val="00075793"/>
    <w:rsid w:val="00077B22"/>
    <w:rsid w:val="000C28E8"/>
    <w:rsid w:val="000D451D"/>
    <w:rsid w:val="00102B21"/>
    <w:rsid w:val="00152BC5"/>
    <w:rsid w:val="00206D30"/>
    <w:rsid w:val="002F15D8"/>
    <w:rsid w:val="00366461"/>
    <w:rsid w:val="003B6B3C"/>
    <w:rsid w:val="004D27E7"/>
    <w:rsid w:val="00562879"/>
    <w:rsid w:val="0067709A"/>
    <w:rsid w:val="00697027"/>
    <w:rsid w:val="006A6930"/>
    <w:rsid w:val="006B4AB5"/>
    <w:rsid w:val="00735075"/>
    <w:rsid w:val="00755925"/>
    <w:rsid w:val="0078251A"/>
    <w:rsid w:val="007A51C1"/>
    <w:rsid w:val="007B1343"/>
    <w:rsid w:val="007F2C88"/>
    <w:rsid w:val="00824EEA"/>
    <w:rsid w:val="008363C8"/>
    <w:rsid w:val="00863896"/>
    <w:rsid w:val="00886101"/>
    <w:rsid w:val="008A2F53"/>
    <w:rsid w:val="008A505F"/>
    <w:rsid w:val="008C2D9F"/>
    <w:rsid w:val="00912410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35CA"/>
    <w:rsid w:val="00E86C64"/>
    <w:rsid w:val="00F21C7D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EE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824EE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EE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824EE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3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1410</Words>
  <Characters>8038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2024-01-17T11:17:00Z</dcterms:created>
  <dcterms:modified xsi:type="dcterms:W3CDTF">2024-01-17T11:17:00Z</dcterms:modified>
</cp:coreProperties>
</file>