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EE5B20" w:rsidRDefault="0079579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</w:t>
      </w:r>
      <w:r w:rsidR="00930826">
        <w:rPr>
          <w:rFonts w:ascii="Times New Roman" w:hAnsi="Times New Roman" w:cs="Times New Roman"/>
          <w:sz w:val="28"/>
          <w:szCs w:val="28"/>
        </w:rPr>
        <w:t xml:space="preserve">с </w:t>
      </w:r>
      <w:r w:rsidR="00E83C63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</w:t>
      </w:r>
      <w:r w:rsidR="007625CA">
        <w:rPr>
          <w:rFonts w:ascii="Times New Roman" w:hAnsi="Times New Roman" w:cs="Times New Roman"/>
          <w:sz w:val="28"/>
          <w:szCs w:val="28"/>
        </w:rPr>
        <w:t xml:space="preserve">связанной с </w:t>
      </w:r>
      <w:r w:rsidR="00AC19E8">
        <w:rPr>
          <w:rFonts w:ascii="Times New Roman" w:hAnsi="Times New Roman" w:cs="Times New Roman"/>
          <w:sz w:val="28"/>
          <w:szCs w:val="28"/>
        </w:rPr>
        <w:t xml:space="preserve">корректировкой стоимости выполнения работ согласно проектно-сметной документации и </w:t>
      </w:r>
      <w:r w:rsidR="00C208D4">
        <w:rPr>
          <w:rFonts w:ascii="Times New Roman" w:hAnsi="Times New Roman" w:cs="Times New Roman"/>
          <w:sz w:val="28"/>
          <w:szCs w:val="28"/>
        </w:rPr>
        <w:t>внесением корректировки</w:t>
      </w:r>
      <w:r w:rsidR="00AC19E8">
        <w:rPr>
          <w:rFonts w:ascii="Times New Roman" w:hAnsi="Times New Roman" w:cs="Times New Roman"/>
          <w:sz w:val="28"/>
          <w:szCs w:val="28"/>
        </w:rPr>
        <w:t xml:space="preserve"> в бюджетную смету Думы городского округа Тольятти в пределах утвержденного бюджета.</w:t>
      </w:r>
      <w:bookmarkStart w:id="0" w:name="_GoBack"/>
      <w:bookmarkEnd w:id="0"/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F0C80"/>
    <w:rsid w:val="00B07247"/>
    <w:rsid w:val="00B132A3"/>
    <w:rsid w:val="00B52055"/>
    <w:rsid w:val="00B71830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37</cp:revision>
  <cp:lastPrinted>2023-02-08T05:56:00Z</cp:lastPrinted>
  <dcterms:created xsi:type="dcterms:W3CDTF">2018-12-07T07:17:00Z</dcterms:created>
  <dcterms:modified xsi:type="dcterms:W3CDTF">2025-06-27T05:47:00Z</dcterms:modified>
</cp:coreProperties>
</file>