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CF" w:rsidRPr="00471FE4" w:rsidRDefault="00471FE4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</w:pPr>
      <w:r w:rsidRPr="00471FE4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  <w:t>ЭКОНОМИКА 201</w:t>
      </w:r>
      <w:r w:rsidR="00AC5EB3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  <w:t>8</w:t>
      </w:r>
    </w:p>
    <w:p w:rsidR="00944394" w:rsidRDefault="00944394" w:rsidP="0027742D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ru-RU"/>
        </w:rPr>
      </w:pPr>
    </w:p>
    <w:p w:rsidR="00363F4F" w:rsidRDefault="003964D2" w:rsidP="002774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64D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3DA2E" wp14:editId="2D45F68C">
                <wp:simplePos x="0" y="0"/>
                <wp:positionH relativeFrom="column">
                  <wp:posOffset>62865</wp:posOffset>
                </wp:positionH>
                <wp:positionV relativeFrom="paragraph">
                  <wp:posOffset>2788285</wp:posOffset>
                </wp:positionV>
                <wp:extent cx="5800090" cy="447675"/>
                <wp:effectExtent l="114300" t="114300" r="124460" b="142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447675"/>
                        </a:xfrm>
                        <a:prstGeom prst="rect">
                          <a:avLst/>
                        </a:prstGeom>
                        <a:solidFill>
                          <a:srgbClr val="1F634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945B28" w:rsidRDefault="00945B28" w:rsidP="00D553A7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023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Миссия Тольятти – город новаторов, реализующих большие проекты и создающих историю нашей страны</w:t>
                            </w:r>
                          </w:p>
                          <w:p w:rsidR="00945B28" w:rsidRPr="00827CA2" w:rsidRDefault="00945B28" w:rsidP="00507DD0">
                            <w:pPr>
                              <w:shd w:val="clear" w:color="auto" w:fill="365F91" w:themeFill="accent1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95pt;margin-top:219.55pt;width:456.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" fillcolor="#1f6344" stroked="f">
                <v:textbox>
                  <w:txbxContent>
                    <w:p w:rsidR="00945B28" w:rsidRDefault="00945B28" w:rsidP="00D553A7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023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Миссия Тольятти – город новаторов, реализующих большие проекты и создающих историю нашей страны</w:t>
                      </w:r>
                    </w:p>
                    <w:p w:rsidR="00945B28" w:rsidRPr="00827CA2" w:rsidRDefault="00945B28" w:rsidP="00507DD0">
                      <w:pPr>
                        <w:shd w:val="clear" w:color="auto" w:fill="365F91" w:themeFill="accent1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439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7CDAAB6" wp14:editId="181AD080">
            <wp:extent cx="5811520" cy="3239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Тольятт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712" cy="324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D1" w:rsidRDefault="00CE05D1" w:rsidP="005D6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E05D1" w:rsidRPr="003B72D3" w:rsidRDefault="000E3273" w:rsidP="005D6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>Предварительная оценка ч</w:t>
      </w:r>
      <w:r w:rsidR="00CE05D1"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>исленност</w:t>
      </w:r>
      <w:r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CE05D1"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населения</w:t>
      </w:r>
      <w:r w:rsidR="003B72D3"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Самарской </w:t>
      </w:r>
      <w:r w:rsidR="00CE05D1"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</w:t>
      </w:r>
      <w:r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1 января 2019 года </w:t>
      </w:r>
      <w:r w:rsidR="00CE05D1"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данным </w:t>
      </w:r>
      <w:r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Территориального органа Федеральной службы государственной статистики по Самарской области </w:t>
      </w:r>
      <w:r w:rsidR="00CE05D1"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составляет 3 193</w:t>
      </w:r>
      <w:r w:rsidRPr="005A10F5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274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729 </w:t>
      </w:r>
      <w:r w:rsidR="00CE05D1" w:rsidRPr="00274B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чел</w:t>
      </w:r>
      <w:r w:rsidR="002E4CE2" w:rsidRPr="00274BDA">
        <w:rPr>
          <w:rFonts w:ascii="Times New Roman" w:hAnsi="Times New Roman" w:cs="Times New Roman"/>
          <w:bCs/>
          <w:sz w:val="24"/>
          <w:szCs w:val="24"/>
          <w:lang w:eastAsia="ru-RU"/>
        </w:rPr>
        <w:t>овек</w:t>
      </w:r>
      <w:r w:rsidR="00CE05D1" w:rsidRPr="00274BD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E05D1" w:rsidRPr="003B72D3" w:rsidRDefault="00757A33" w:rsidP="005D6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72D3">
        <w:rPr>
          <w:rFonts w:ascii="Times New Roman" w:hAnsi="Times New Roman" w:cs="Times New Roman"/>
          <w:bCs/>
          <w:sz w:val="24"/>
          <w:szCs w:val="24"/>
          <w:lang w:eastAsia="ru-RU"/>
        </w:rPr>
        <w:t>В состав Самарской области входит 342 муниципальных образований, в том числе 10 городских округов, 27 муниципальных районов.</w:t>
      </w:r>
    </w:p>
    <w:p w:rsidR="003B72D3" w:rsidRDefault="006A6450" w:rsidP="00BA7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Расчетная </w:t>
      </w:r>
      <w:r w:rsidR="005D65C2" w:rsidRPr="008C49C4">
        <w:rPr>
          <w:rFonts w:ascii="Times New Roman" w:hAnsi="Times New Roman" w:cs="Times New Roman"/>
          <w:bCs/>
          <w:sz w:val="24"/>
          <w:szCs w:val="24"/>
          <w:lang w:eastAsia="ru-RU"/>
        </w:rPr>
        <w:t>численност</w:t>
      </w:r>
      <w:r w:rsidR="0007133F"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r w:rsidR="005D65C2" w:rsidRPr="008C49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2BA0" w:rsidRPr="008C49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постоянного </w:t>
      </w:r>
      <w:r w:rsidR="005D65C2" w:rsidRPr="008C49C4">
        <w:rPr>
          <w:rFonts w:ascii="Times New Roman" w:hAnsi="Times New Roman" w:cs="Times New Roman"/>
          <w:bCs/>
          <w:sz w:val="24"/>
          <w:szCs w:val="24"/>
          <w:lang w:eastAsia="ru-RU"/>
        </w:rPr>
        <w:t>населения г</w:t>
      </w:r>
      <w:r w:rsidR="003B5909" w:rsidRPr="008C49C4">
        <w:rPr>
          <w:rFonts w:ascii="Times New Roman" w:hAnsi="Times New Roman" w:cs="Times New Roman"/>
          <w:bCs/>
          <w:sz w:val="24"/>
          <w:szCs w:val="24"/>
          <w:lang w:eastAsia="ru-RU"/>
        </w:rPr>
        <w:t>ородского округа</w:t>
      </w:r>
      <w:r w:rsidR="005D65C2" w:rsidRPr="008C49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Тольятти на 1 </w:t>
      </w:r>
      <w:r w:rsidR="000E327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сентября </w:t>
      </w:r>
      <w:r w:rsidR="005D65C2" w:rsidRPr="008C49C4">
        <w:rPr>
          <w:rFonts w:ascii="Times New Roman" w:hAnsi="Times New Roman" w:cs="Times New Roman"/>
          <w:bCs/>
          <w:sz w:val="24"/>
          <w:szCs w:val="24"/>
          <w:lang w:eastAsia="ru-RU"/>
        </w:rPr>
        <w:t>201</w:t>
      </w:r>
      <w:r w:rsidR="00260878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5D65C2" w:rsidRPr="008C49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состав</w:t>
      </w:r>
      <w:r w:rsidR="000E3273">
        <w:rPr>
          <w:rFonts w:ascii="Times New Roman" w:hAnsi="Times New Roman" w:cs="Times New Roman"/>
          <w:bCs/>
          <w:sz w:val="24"/>
          <w:szCs w:val="24"/>
          <w:lang w:eastAsia="ru-RU"/>
        </w:rPr>
        <w:t>ляет</w:t>
      </w:r>
      <w:r w:rsidR="005D65C2" w:rsidRPr="008C49C4">
        <w:rPr>
          <w:rFonts w:ascii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Pr="006A6450">
        <w:rPr>
          <w:rFonts w:ascii="Times New Roman" w:hAnsi="Times New Roman" w:cs="Times New Roman"/>
          <w:bCs/>
          <w:sz w:val="24"/>
          <w:szCs w:val="24"/>
          <w:lang w:eastAsia="ru-RU"/>
        </w:rPr>
        <w:t>70</w:t>
      </w:r>
      <w:r w:rsidR="000E3273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6A6450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5E44D2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6A64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65C2" w:rsidRPr="008C49C4">
        <w:rPr>
          <w:rFonts w:ascii="Times New Roman" w:hAnsi="Times New Roman" w:cs="Times New Roman"/>
          <w:bCs/>
          <w:sz w:val="24"/>
          <w:szCs w:val="24"/>
          <w:lang w:eastAsia="ru-RU"/>
        </w:rPr>
        <w:t>тыс. человек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том числе по районам: </w:t>
      </w:r>
    </w:p>
    <w:p w:rsidR="003B72D3" w:rsidRPr="003B72D3" w:rsidRDefault="006A6450" w:rsidP="003B72D3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72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Автозаводский </w:t>
      </w:r>
      <w:r w:rsidR="003824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B72D3">
        <w:rPr>
          <w:rFonts w:ascii="Times New Roman" w:hAnsi="Times New Roman" w:cs="Times New Roman"/>
          <w:bCs/>
          <w:sz w:val="24"/>
          <w:szCs w:val="24"/>
          <w:lang w:eastAsia="ru-RU"/>
        </w:rPr>
        <w:t>– 43</w:t>
      </w:r>
      <w:r w:rsidR="005E44D2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3B72D3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5E44D2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3B72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72D3">
        <w:rPr>
          <w:rFonts w:ascii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3B72D3">
        <w:rPr>
          <w:rFonts w:ascii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Pr="003B72D3">
        <w:rPr>
          <w:rFonts w:ascii="Times New Roman" w:hAnsi="Times New Roman" w:cs="Times New Roman"/>
          <w:bCs/>
          <w:sz w:val="24"/>
          <w:szCs w:val="24"/>
          <w:lang w:eastAsia="ru-RU"/>
        </w:rPr>
        <w:t>ел</w:t>
      </w:r>
      <w:proofErr w:type="spellEnd"/>
      <w:r w:rsidRPr="003B72D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B72D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B72D3" w:rsidRPr="005E44D2" w:rsidRDefault="006A6450" w:rsidP="003B72D3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Центральный </w:t>
      </w:r>
      <w:r w:rsidR="003824AD"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–</w:t>
      </w:r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15</w:t>
      </w:r>
      <w:r w:rsidR="005E44D2"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5E44D2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ел</w:t>
      </w:r>
      <w:proofErr w:type="spellEnd"/>
      <w:r w:rsidR="005D65C2"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B72D3"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72D3" w:rsidRPr="005E44D2" w:rsidRDefault="006A6450" w:rsidP="003B72D3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Комсомольский – 11</w:t>
      </w:r>
      <w:r w:rsidR="005E44D2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5E44D2"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ел</w:t>
      </w:r>
      <w:proofErr w:type="spellEnd"/>
      <w:r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B5909" w:rsidRPr="005E4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2BA0" w:rsidRPr="007858CE" w:rsidRDefault="00955694" w:rsidP="00BA7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период с</w:t>
      </w:r>
      <w:r w:rsidR="007858CE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01.01.2018</w:t>
      </w:r>
      <w:r w:rsidR="002608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7858CE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01.09.2018 г.</w:t>
      </w:r>
      <w:r w:rsidR="005D65C2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численность населения</w:t>
      </w:r>
      <w:r w:rsidR="005D65C2" w:rsidRPr="007858CE">
        <w:rPr>
          <w:rFonts w:ascii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="005D65C2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>сократилась</w:t>
      </w:r>
      <w:r w:rsidR="005D65C2" w:rsidRPr="007858CE">
        <w:rPr>
          <w:rFonts w:ascii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="005D65C2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 w:rsidR="005D65C2" w:rsidRPr="007858CE">
        <w:rPr>
          <w:rFonts w:ascii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="007858CE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>2,876</w:t>
      </w:r>
      <w:r w:rsidR="007858CE" w:rsidRPr="007858CE">
        <w:rPr>
          <w:rFonts w:ascii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="006A6450" w:rsidRPr="007858CE">
        <w:rPr>
          <w:rFonts w:ascii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="005D65C2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>тыс. человек.</w:t>
      </w:r>
      <w:r w:rsidR="005D65C2" w:rsidRPr="007858CE">
        <w:rPr>
          <w:rFonts w:ascii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Pr="0095569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Число родившихся</w:t>
      </w:r>
      <w:r>
        <w:rPr>
          <w:rFonts w:ascii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="005D65C2" w:rsidRPr="007858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г</w:t>
      </w:r>
      <w:r w:rsidR="003B5909" w:rsidRPr="007858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ородском округе</w:t>
      </w:r>
      <w:r w:rsidR="005D65C2" w:rsidRPr="007858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 Тольятти </w:t>
      </w:r>
      <w:r w:rsidR="005D65C2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276A2A">
        <w:rPr>
          <w:rFonts w:ascii="Times New Roman" w:hAnsi="Times New Roman" w:cs="Times New Roman"/>
          <w:bCs/>
          <w:sz w:val="24"/>
          <w:szCs w:val="24"/>
          <w:lang w:eastAsia="ru-RU"/>
        </w:rPr>
        <w:t>отчетный период</w:t>
      </w:r>
      <w:r w:rsidR="005D65C2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составил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5,1 </w:t>
      </w:r>
      <w:r w:rsidR="005D65C2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тыс. человек.</w:t>
      </w:r>
      <w:r w:rsidR="007D46CA" w:rsidRPr="007858CE">
        <w:t xml:space="preserve"> </w:t>
      </w:r>
      <w:r w:rsidRPr="0095569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Зарегистрировано браков – 3,5 тыс. человек.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D46CA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городском округе Тольятти проживает </w:t>
      </w:r>
      <w:r w:rsidR="007D46CA" w:rsidRPr="00015338">
        <w:rPr>
          <w:rFonts w:ascii="Times New Roman" w:hAnsi="Times New Roman" w:cs="Times New Roman"/>
          <w:bCs/>
          <w:sz w:val="24"/>
          <w:szCs w:val="24"/>
          <w:lang w:eastAsia="ru-RU"/>
        </w:rPr>
        <w:t>13</w:t>
      </w:r>
      <w:r w:rsidR="008B0086" w:rsidRPr="00015338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7D46CA" w:rsidRPr="0001533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8B0086" w:rsidRPr="00015338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7D46CA" w:rsidRPr="000153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тыс. человек в возрасте от 14 до 30 лет, доля молодежи в общей численности населения составляет 1</w:t>
      </w:r>
      <w:r w:rsidR="00015338" w:rsidRPr="00015338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7D46CA" w:rsidRPr="0001533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015338" w:rsidRPr="00015338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7D46CA" w:rsidRPr="00015338">
        <w:rPr>
          <w:rFonts w:ascii="Times New Roman" w:hAnsi="Times New Roman" w:cs="Times New Roman"/>
          <w:bCs/>
          <w:sz w:val="24"/>
          <w:szCs w:val="24"/>
          <w:lang w:eastAsia="ru-RU"/>
        </w:rPr>
        <w:t>%.</w:t>
      </w:r>
      <w:r w:rsidR="002E4CE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4CE2" w:rsidRPr="00274BDA">
        <w:rPr>
          <w:rFonts w:ascii="Times New Roman" w:hAnsi="Times New Roman" w:cs="Times New Roman"/>
          <w:bCs/>
          <w:sz w:val="24"/>
          <w:szCs w:val="24"/>
          <w:lang w:eastAsia="ru-RU"/>
        </w:rPr>
        <w:t>Население города составляет 22,1% от общей численности населения Самарской области</w:t>
      </w:r>
      <w:r w:rsidR="005F2E61" w:rsidRPr="00290D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[4]</w:t>
      </w:r>
      <w:r w:rsidR="002E4CE2" w:rsidRPr="00274BD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02BA0" w:rsidRPr="007858CE" w:rsidRDefault="00402BA0" w:rsidP="00BA7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Самарской области находится уникальная двухъядерная </w:t>
      </w:r>
      <w:proofErr w:type="spellStart"/>
      <w:r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>Самарско</w:t>
      </w:r>
      <w:proofErr w:type="spellEnd"/>
      <w:r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>-Тольяттинская агломерация (третья по величине в России), в которой проживает более</w:t>
      </w:r>
      <w:r w:rsidR="00AA659E"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858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85% населения области.</w:t>
      </w:r>
    </w:p>
    <w:p w:rsidR="00506DFA" w:rsidRPr="00274BDA" w:rsidRDefault="00402BA0" w:rsidP="00506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</w:t>
      </w:r>
      <w:r w:rsidR="0044061E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является одним из крупных экономических и промышленных центров</w:t>
      </w:r>
      <w:r w:rsidR="0044061E" w:rsidRPr="00274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8D3" w:rsidRPr="00274BDA">
        <w:t xml:space="preserve"> </w:t>
      </w:r>
      <w:r w:rsidR="00506DFA" w:rsidRPr="0027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городского округа Тольятти на карте Самарской области:</w:t>
      </w:r>
    </w:p>
    <w:p w:rsidR="00506DFA" w:rsidRPr="00E379CA" w:rsidRDefault="00506DFA" w:rsidP="00E379CA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крупнейших центров образования и науки, кадровый потенциал (2 место в Самарской области по доле занятых с высшим образованием (30,4%)); </w:t>
      </w:r>
    </w:p>
    <w:p w:rsidR="00506DFA" w:rsidRPr="00E379CA" w:rsidRDefault="00506DFA" w:rsidP="00E379CA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год: </w:t>
      </w:r>
      <w:proofErr w:type="gramStart"/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 в </w:t>
      </w:r>
      <w:r w:rsidR="0032033D"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превысил показатели Самары по объемам обрабатывающей промышленности, по итогам 9 месяцев 2018 года - почти в 3 раза);</w:t>
      </w:r>
      <w:proofErr w:type="gramEnd"/>
    </w:p>
    <w:p w:rsidR="00506DFA" w:rsidRPr="00E379CA" w:rsidRDefault="00506DFA" w:rsidP="00E379CA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центр (1 место в Самарской области по объему отгруженной инновационной продукции);</w:t>
      </w:r>
    </w:p>
    <w:p w:rsidR="00506DFA" w:rsidRPr="00E379CA" w:rsidRDefault="00506DFA" w:rsidP="00E379CA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центр культуры и искусства, спорта и туризма, уникальный в градостроительном плане город;</w:t>
      </w:r>
    </w:p>
    <w:p w:rsidR="00506DFA" w:rsidRPr="00E379CA" w:rsidRDefault="00506DFA" w:rsidP="00E379CA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региональный транспортный центр (М5 «Урал», железнодорожная магистраль, международный аэропорт «</w:t>
      </w:r>
      <w:proofErr w:type="spellStart"/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Курумоч</w:t>
      </w:r>
      <w:proofErr w:type="spellEnd"/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506DFA" w:rsidRPr="00E379CA" w:rsidRDefault="00506DFA" w:rsidP="00E379CA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предпринимательства (1-е место по числу МСП на душу населения в Самарской области);</w:t>
      </w:r>
    </w:p>
    <w:p w:rsidR="00506DFA" w:rsidRPr="00E379CA" w:rsidRDefault="00506DFA" w:rsidP="00E379CA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ТОСЭР, близость к ОЭЗ ТПТ «Тольятти», промышленные (индустриальные);</w:t>
      </w:r>
    </w:p>
    <w:p w:rsidR="0044061E" w:rsidRPr="00E379CA" w:rsidRDefault="00506DFA" w:rsidP="00E379CA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технопа</w:t>
      </w:r>
      <w:proofErr w:type="gramStart"/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 сф</w:t>
      </w:r>
      <w:proofErr w:type="gramEnd"/>
      <w:r w:rsidRPr="00E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высоких технологий «Жигулевская долина».</w:t>
      </w:r>
    </w:p>
    <w:p w:rsidR="002362ED" w:rsidRDefault="00E60083" w:rsidP="00BA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проведена работа по подготовке Стратегии социально-экономического развития городского округа Тольятти. </w:t>
      </w:r>
      <w:r w:rsidR="002362ED" w:rsidRPr="0027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городского округа Тольятти от </w:t>
      </w:r>
      <w:r w:rsidR="007E0236" w:rsidRPr="00274BDA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25.01.2019</w:t>
      </w:r>
      <w:r w:rsidR="002362ED" w:rsidRPr="0027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E0236" w:rsidRPr="00274BDA">
        <w:rPr>
          <w:rFonts w:ascii="Times New Roman" w:eastAsia="Times New Roman" w:hAnsi="Times New Roman" w:cs="Times New Roman"/>
          <w:sz w:val="24"/>
          <w:szCs w:val="24"/>
          <w:lang w:eastAsia="ru-RU"/>
        </w:rPr>
        <w:t>131 утверждена Стратегия социально-экономического развития городского округа Тольятти на период до 2030 года</w:t>
      </w:r>
      <w:r w:rsidR="005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61" w:rsidRPr="005F2E61">
        <w:rPr>
          <w:rFonts w:ascii="Times New Roman" w:eastAsia="Times New Roman" w:hAnsi="Times New Roman" w:cs="Times New Roman"/>
          <w:sz w:val="24"/>
          <w:szCs w:val="24"/>
          <w:lang w:eastAsia="ru-RU"/>
        </w:rPr>
        <w:t>[8]</w:t>
      </w:r>
      <w:r w:rsidR="007E0236" w:rsidRPr="005F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A0B" w:rsidRPr="00831159" w:rsidRDefault="007B6A0B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t>ТОСЭР</w:t>
      </w:r>
    </w:p>
    <w:p w:rsidR="0084650C" w:rsidRDefault="00105D29" w:rsidP="008E2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28 сентября 2016 г. № 974 </w:t>
      </w:r>
      <w:r w:rsidR="00A970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территории опережающего социально-экономического развития </w:t>
      </w:r>
      <w:r w:rsidR="00A970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</w:t>
      </w:r>
      <w:r w:rsidR="00A970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02BA0" w:rsidRPr="0084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</w:t>
      </w:r>
      <w:r w:rsidR="004D6850" w:rsidRPr="0084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402BA0" w:rsidRPr="0084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Тольятти </w:t>
      </w:r>
      <w:r w:rsidR="004D6850" w:rsidRPr="0084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 территорией опережающего социально-экономического развития</w:t>
      </w:r>
      <w:r w:rsidR="004D6850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50C" w:rsidRPr="0084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(ТОСЭР)</w:t>
      </w:r>
      <w:r w:rsidR="0084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65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D6850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правовой режим осуществления предпринимательской и иной деятельности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соответствии</w:t>
      </w:r>
      <w:r w:rsidR="00274065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6850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F7A01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50C" w:rsidRPr="008465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ТОСЭР вызывает особый интерес у представителей малого и среднего бизнеса, которые сейчас составляют уже более половины потенциальных резидентов ТОСЭР.</w:t>
      </w:r>
    </w:p>
    <w:p w:rsidR="00C32B0F" w:rsidRPr="00C32B0F" w:rsidRDefault="001338A7" w:rsidP="008E2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C32B0F" w:rsidRPr="0060333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Резидентам ТОСЭР Тольятти предоставляются налоговые льготы</w:t>
        </w:r>
      </w:hyperlink>
      <w:r w:rsidR="00C32B0F" w:rsidRPr="00C3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2B0F" w:rsidRDefault="00C32B0F" w:rsidP="008E2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603334" w:rsidRPr="001338A7" w:rsidTr="00603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2A5DA8"/>
          </w:tcPr>
          <w:p w:rsidR="00603334" w:rsidRPr="00CD0E32" w:rsidRDefault="00603334" w:rsidP="00C32B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2A5DA8"/>
          </w:tcPr>
          <w:p w:rsidR="00603334" w:rsidRPr="001338A7" w:rsidRDefault="00603334" w:rsidP="00C32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ТОСЭР</w:t>
            </w:r>
          </w:p>
        </w:tc>
        <w:tc>
          <w:tcPr>
            <w:tcW w:w="2835" w:type="dxa"/>
            <w:shd w:val="clear" w:color="auto" w:fill="2A5DA8"/>
          </w:tcPr>
          <w:p w:rsidR="00603334" w:rsidRPr="001338A7" w:rsidRDefault="00603334" w:rsidP="00C32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ставка</w:t>
            </w:r>
          </w:p>
        </w:tc>
      </w:tr>
      <w:tr w:rsidR="00603334" w:rsidRPr="001338A7" w:rsidTr="0060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2A5DA8"/>
          </w:tcPr>
          <w:p w:rsidR="00603334" w:rsidRPr="001338A7" w:rsidRDefault="00603334" w:rsidP="00C32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имущество, в том числе </w:t>
            </w:r>
            <w:proofErr w:type="gramStart"/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движимое</w:t>
            </w:r>
          </w:p>
        </w:tc>
        <w:tc>
          <w:tcPr>
            <w:tcW w:w="2977" w:type="dxa"/>
          </w:tcPr>
          <w:p w:rsidR="00603334" w:rsidRPr="001338A7" w:rsidRDefault="00603334" w:rsidP="00603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35" w:type="dxa"/>
          </w:tcPr>
          <w:p w:rsidR="00603334" w:rsidRPr="001338A7" w:rsidRDefault="00603334" w:rsidP="00C32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603334" w:rsidRPr="001338A7" w:rsidTr="0060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2A5DA8"/>
          </w:tcPr>
          <w:p w:rsidR="00603334" w:rsidRPr="001338A7" w:rsidRDefault="00603334" w:rsidP="00603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2977" w:type="dxa"/>
          </w:tcPr>
          <w:p w:rsidR="00603334" w:rsidRPr="001338A7" w:rsidRDefault="00603334" w:rsidP="00603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2%- 5 лет</w:t>
            </w:r>
          </w:p>
          <w:p w:rsidR="00603334" w:rsidRPr="001338A7" w:rsidRDefault="00603334" w:rsidP="00603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 - 6-10 годы</w:t>
            </w:r>
          </w:p>
        </w:tc>
        <w:tc>
          <w:tcPr>
            <w:tcW w:w="2835" w:type="dxa"/>
          </w:tcPr>
          <w:p w:rsidR="00603334" w:rsidRPr="001338A7" w:rsidRDefault="00603334" w:rsidP="00C32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03334" w:rsidRPr="001338A7" w:rsidTr="0060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2A5DA8"/>
          </w:tcPr>
          <w:p w:rsidR="00603334" w:rsidRPr="001338A7" w:rsidRDefault="00603334" w:rsidP="00603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2977" w:type="dxa"/>
          </w:tcPr>
          <w:p w:rsidR="00603334" w:rsidRPr="001338A7" w:rsidRDefault="00603334" w:rsidP="00603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35" w:type="dxa"/>
          </w:tcPr>
          <w:p w:rsidR="00603334" w:rsidRPr="001338A7" w:rsidRDefault="00603334" w:rsidP="00C32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</w:tr>
      <w:tr w:rsidR="00603334" w:rsidRPr="005269DD" w:rsidTr="0060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2A5DA8"/>
          </w:tcPr>
          <w:p w:rsidR="00603334" w:rsidRPr="001338A7" w:rsidRDefault="00603334" w:rsidP="00603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выплаты*</w:t>
            </w:r>
            <w:r w:rsidR="00E703D4"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</w:tcPr>
          <w:p w:rsidR="00603334" w:rsidRPr="001338A7" w:rsidRDefault="00603334" w:rsidP="00603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7,6%</w:t>
            </w:r>
          </w:p>
        </w:tc>
        <w:tc>
          <w:tcPr>
            <w:tcW w:w="2835" w:type="dxa"/>
          </w:tcPr>
          <w:p w:rsidR="00603334" w:rsidRPr="001338A7" w:rsidRDefault="00603334" w:rsidP="00E703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C32B0F" w:rsidRPr="005F182D" w:rsidRDefault="00C32B0F" w:rsidP="005F18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1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&lt;*&gt; Ставка налога на движимое имущество в 2018</w:t>
      </w:r>
      <w:r w:rsidR="001338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5F1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r w:rsidR="005F182D" w:rsidRPr="005F1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F1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равна 1,1%. С 2019г. регионы могут поднять ставку до 2.2%</w:t>
      </w:r>
      <w:r w:rsidR="005F1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32B0F" w:rsidRPr="005F182D" w:rsidRDefault="00C32B0F" w:rsidP="005F18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1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&lt;**&gt; Для резидентов, получивших статус до 28.09.2019г.</w:t>
      </w:r>
    </w:p>
    <w:p w:rsidR="00603334" w:rsidRDefault="00603334" w:rsidP="005F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B0F" w:rsidRPr="001338A7" w:rsidRDefault="005F182D" w:rsidP="005F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условия получения статуса резидента ТОСЭР Тольятти</w:t>
      </w:r>
    </w:p>
    <w:p w:rsidR="005F182D" w:rsidRPr="001338A7" w:rsidRDefault="005F182D" w:rsidP="005F182D">
      <w:pPr>
        <w:pStyle w:val="des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338A7">
        <w:t xml:space="preserve">Компания должна вложить в проект не менее 20 млн. рублей, а в первый год работы - не меньше 5 </w:t>
      </w:r>
      <w:proofErr w:type="spellStart"/>
      <w:r w:rsidRPr="001338A7">
        <w:t>млн</w:t>
      </w:r>
      <w:proofErr w:type="gramStart"/>
      <w:r w:rsidRPr="001338A7">
        <w:t>.р</w:t>
      </w:r>
      <w:proofErr w:type="gramEnd"/>
      <w:r w:rsidRPr="001338A7">
        <w:t>уб</w:t>
      </w:r>
      <w:proofErr w:type="spellEnd"/>
      <w:r w:rsidRPr="001338A7">
        <w:t>.</w:t>
      </w:r>
    </w:p>
    <w:p w:rsidR="005F182D" w:rsidRPr="001338A7" w:rsidRDefault="005F182D" w:rsidP="005F182D">
      <w:pPr>
        <w:pStyle w:val="des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338A7">
        <w:t>Новая компания должна создать в первый год работы не менее 20 рабочих мест, а действующее предприятие – не менее среднесписочной численности работников за последние 3 года.</w:t>
      </w:r>
    </w:p>
    <w:p w:rsidR="005F182D" w:rsidRPr="001338A7" w:rsidRDefault="005F182D" w:rsidP="005F182D">
      <w:pPr>
        <w:pStyle w:val="des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338A7">
        <w:t>Компания, должна быть зарегистрирована в Тольятти и не иметь филиалов за пределами города</w:t>
      </w:r>
      <w:r w:rsidR="00E703D4" w:rsidRPr="001338A7">
        <w:t xml:space="preserve"> [3]</w:t>
      </w:r>
      <w:r w:rsidRPr="001338A7">
        <w:t>.</w:t>
      </w:r>
    </w:p>
    <w:p w:rsidR="00C32B0F" w:rsidRDefault="00C32B0F" w:rsidP="008E2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01" w:rsidRPr="005E44D2" w:rsidRDefault="003F7A01" w:rsidP="008E2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ТОСЭР </w:t>
      </w:r>
      <w:r w:rsidR="00A970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</w:t>
      </w:r>
      <w:r w:rsidR="00A970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описанию границ городского округа Тольятти.</w:t>
      </w:r>
    </w:p>
    <w:p w:rsidR="003B72D3" w:rsidRDefault="00B623D3" w:rsidP="003F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Резидентами ТО</w:t>
      </w:r>
      <w:r w:rsidR="0039017D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СЭ</w:t>
      </w: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Р являются организации, отвечающие требованиям статьи 34 ФЗ № 473,  постановления Правительства РФ № 614 и постановления Правительства РФ № 974, которые включены в реестр резидентов ТО</w:t>
      </w:r>
      <w:r w:rsidR="0039017D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СЭ</w:t>
      </w: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и заключили соглашение об осуществлении деятельности на </w:t>
      </w:r>
      <w:r w:rsidR="0039017D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ТОСЭР</w:t>
      </w: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органом государственной власти Самарской </w:t>
      </w: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области, уполномоченным на заключение соглашений об осуществлении деятельности на </w:t>
      </w:r>
      <w:r w:rsidR="0039017D"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ТОСЭР</w:t>
      </w:r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(или) органами местного самоуправления </w:t>
      </w:r>
      <w:proofErr w:type="spellStart"/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монопрофильного</w:t>
      </w:r>
      <w:proofErr w:type="spellEnd"/>
      <w:r w:rsidRPr="005E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Самарской области.  </w:t>
      </w:r>
      <w:proofErr w:type="gramEnd"/>
    </w:p>
    <w:p w:rsidR="00C645DC" w:rsidRPr="00290D76" w:rsidRDefault="00C645DC" w:rsidP="00C64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потенциал ТОСЭР вызывает большой интерес среди инвесторов.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ьшое количество</w:t>
      </w:r>
      <w:r w:rsidRPr="00C6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изъявили желание реализовывать свои проекты в Тольятти в качестве резидентов еще на уровне подготовки заявки на получения особого статуса. Помимо инвесторов из Тольятти и Самарской области в перечне представлено много проектов инвесторов из других регионов РФ, а также с участием зарубежных инвесторов.</w:t>
      </w:r>
    </w:p>
    <w:p w:rsidR="00514F61" w:rsidRPr="001338A7" w:rsidRDefault="00514F61" w:rsidP="00514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2018 года ТО</w:t>
      </w:r>
      <w:proofErr w:type="gramStart"/>
      <w:r w:rsidRPr="001338A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gramEnd"/>
      <w:r w:rsidRPr="001338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ЭР «Тольятти» занимала лидирующую позицию по числу резидентов, включенных в федеральный реестр резидентов, среди всех территорий опережающего развития, созданных в моногородах. Статус резидента получен 46 «тольяттинскими» компаниями, которые готовы инвестировать в развитие Тольятти более 10 млрд. рублей и создать 5 тысяч новых рабочих мест. На 01.01.2019 в ТОСЭР «Тольятти» вложено 1,1 млрд. руб. инвестиций,  создано 2,5 тыс. рабочих мест</w:t>
      </w:r>
      <w:r w:rsidR="00E703D4" w:rsidRPr="001338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[10]</w:t>
      </w:r>
      <w:r w:rsidRPr="001338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F657F" w:rsidRPr="00015338" w:rsidRDefault="00514F61" w:rsidP="003F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F7CEA"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езидент</w:t>
      </w:r>
      <w:r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7CEA"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ТОСЭР «Тольятти»:</w:t>
      </w:r>
    </w:p>
    <w:tbl>
      <w:tblPr>
        <w:tblStyle w:val="3-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812"/>
      </w:tblGrid>
      <w:tr w:rsidR="00432CB6" w:rsidRPr="00902D6B" w:rsidTr="0049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432CB6" w:rsidRPr="00507DD0" w:rsidRDefault="00432CB6" w:rsidP="00432CB6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2A5DA8"/>
          </w:tcPr>
          <w:p w:rsidR="00432CB6" w:rsidRPr="00507DD0" w:rsidRDefault="00432CB6" w:rsidP="00DF6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резидента ТОСЭР</w:t>
            </w:r>
          </w:p>
        </w:tc>
        <w:tc>
          <w:tcPr>
            <w:tcW w:w="5812" w:type="dxa"/>
            <w:shd w:val="clear" w:color="auto" w:fill="2A5DA8"/>
          </w:tcPr>
          <w:p w:rsidR="00432CB6" w:rsidRPr="00507DD0" w:rsidRDefault="00432CB6" w:rsidP="00432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  <w:hideMark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АКОМ-ИНДАСТРИАЛ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на территории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gram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ольятти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производства промышленных свинцовых аккумуляторных батарей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разработка и изготовление испытательных стендов для крупных компаний-поставщиков авиакосмической промышленности, автомобилестроительных предприятий, научно-исследовательских институтов и университетов на основе многофункционального контроллера нового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Граниферт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установки гранулированного сульфата аммония мощностью 14000 тонн/год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 Тольяттинский завод приборов отопления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теплового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Сарди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Пекеджинг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организации производства защитных картонных уголков в г. Тольятти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БРАЙС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производства твердосплавного осевого инструмента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ЗЕТТА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отечественного многофункционального высокоэффективного электрического привода для транспортных средств общего пользования и специального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 ТМК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светодиодного оборудования и технических жидкостей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 ЛИМИТЕД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центра разработки программного обеспечения для контрактных центров в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ольятти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Металлист-Тольятти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высокотехнологического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ТТС ЗАКАЛКА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листового стекла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 </w:t>
            </w:r>
            <w:proofErr w:type="gram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радиаторов отопления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НТЦ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Евровент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энергоэффективного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вентиляционного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КПД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новых методов производства в строительной отрасли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КОНДИТЕРСКАЯ ФАБРИКА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Расширение действующего производства кондитерских изделий на базе 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КФ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БИСКО ТТИ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производства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макарок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мучных кондитерских изделий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Медицинский центр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Центр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КОЛОРАНТ-Т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мастербатчей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пленки (листов) ПЭТ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Мясокомбинат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мясокомбината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полного цикла переработки и выпуска продукции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Бизнес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Солюшн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вывод на рынок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мультиплатформы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клиентского сервиса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интеллектуальной обработкой обращений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кожгалантерейных изделий в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ольятти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ВолгаГофроПак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3-слойного </w:t>
            </w:r>
            <w:proofErr w:type="gram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упаковочного</w:t>
            </w:r>
            <w:proofErr w:type="gram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гофрокартона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гофрокоробов</w:t>
            </w:r>
            <w:proofErr w:type="spellEnd"/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СБ-М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C55812" w:rsidRDefault="00A97001" w:rsidP="00C5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опытного конструкторского бюро </w:t>
            </w:r>
          </w:p>
          <w:p w:rsidR="00A97001" w:rsidRPr="00A97001" w:rsidRDefault="00A97001" w:rsidP="00C5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г. </w:t>
            </w:r>
            <w:r w:rsidR="00C5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ольятти</w:t>
            </w:r>
          </w:p>
        </w:tc>
      </w:tr>
      <w:tr w:rsidR="00A97001" w:rsidRPr="00A97001" w:rsidTr="0049275D">
        <w:trPr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АГАТ-ТОЛЬЯТТИ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серийного производства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корпусной мебели и комплектующих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ее производства, мебельной плиты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трудногорючих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стеновых панелей,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декорированных рулонными материалами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использованием запатентованных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технологий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ТОЛЬЯТТИНСКИЙ КАБЕЛЬНЫЙ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производства высокочастотного структурированного кабеля в полиэтиленовой изоляции (ПЭ) и ПВХ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оболочке на территории Индустриального парка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АВТОВАЗ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ЛИДЕР-ПРОМПЛАСТ И </w:t>
            </w:r>
            <w:proofErr w:type="gram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полимерных изделий из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полиолефинов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Славянский профиль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элементов оконных конструкций</w:t>
            </w:r>
          </w:p>
        </w:tc>
      </w:tr>
      <w:tr w:rsidR="00A97001" w:rsidRPr="00A97001" w:rsidTr="0049275D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ПОВОЛЖСКИЙ ШИНОПЕРЕРАБАТЫВАЮЩИЙ ЗАВОД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действующего производства по переработке отходов на основе шин и резин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макарон</w:t>
            </w:r>
          </w:p>
        </w:tc>
      </w:tr>
      <w:tr w:rsidR="00A97001" w:rsidRPr="00A97001" w:rsidTr="0049275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мебельные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мебели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 МАФ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тренажеров из нержавеющей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трубы</w:t>
            </w:r>
          </w:p>
        </w:tc>
      </w:tr>
      <w:tr w:rsidR="00A97001" w:rsidRPr="00A97001" w:rsidTr="0049275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ЖБИ ФЛОРКОН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C5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высокотехнологичного</w:t>
            </w:r>
            <w:r w:rsidR="00C5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быстроадаптируемого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производства</w:t>
            </w:r>
            <w:r w:rsidR="00C5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сборных железобетонных изделий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Технико-Аналитического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C5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технико-аналитического</w:t>
            </w:r>
            <w:r w:rsidR="00C5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на территории</w:t>
            </w:r>
            <w:r w:rsidR="00C5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опережающего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5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(городской округ Тольятти, Самарская</w:t>
            </w:r>
            <w:r w:rsidR="00C5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область)</w:t>
            </w:r>
          </w:p>
        </w:tc>
      </w:tr>
      <w:tr w:rsidR="00A97001" w:rsidRPr="00A97001" w:rsidTr="0049275D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Тольяттинский литейно-механический завод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C5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завода по производству</w:t>
            </w:r>
            <w:r w:rsidR="00C5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медной катанки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8E2B21"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ИННОВАЦИОННЫЕ СИСТЕМЫ ПОЖАРОБЕЗОПАСНОСТИ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производства полного цикла по выпуску инновационных устройств пожаротушения</w:t>
            </w:r>
          </w:p>
        </w:tc>
      </w:tr>
      <w:tr w:rsidR="00A97001" w:rsidRPr="00A97001" w:rsidTr="0049275D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8E2B21"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Волжский Завод Промышленной Арматуры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новой линии по изготовлению хомутов гидравлических ремонтно-соединительных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8E2B21"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ТОЛХОТЕЛ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гостиницы международного отельного оператора ACCORHOTELS под брендом IBIS уровня 3 звезды</w:t>
            </w:r>
          </w:p>
        </w:tc>
      </w:tr>
      <w:tr w:rsidR="00A97001" w:rsidRPr="00A97001" w:rsidTr="0049275D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Регион-Т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C5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и запуск туристического центра отдыха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5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предоставлением мест для временного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C5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C5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КАРАТ-Тольятти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завода по производству сыра в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Тольятти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АКОМ-ИНДАСТРИАЛ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на территории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Тольятти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 промышленных свинцовых аккумуляторных батарей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производство штамповой оснастки и пресс-форм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Поволжский Пищевой Комбинат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производства готовых пастеризованных обеденных блюд длительного хранения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ИнжГеология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Расширение производства детских игрушек на базе 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ИнжГеология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СуперПринт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производства упаковочной пленки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 Трейд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действующего производства по литью и обработке металлов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97001" w:rsidRPr="00A97001" w:rsidTr="0049275D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2A5DA8"/>
          </w:tcPr>
          <w:p w:rsidR="00A97001" w:rsidRPr="00A97001" w:rsidRDefault="00A97001" w:rsidP="00A97001">
            <w:pPr>
              <w:pStyle w:val="a6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Валео</w:t>
            </w:r>
            <w:proofErr w:type="spell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Технолоджи </w:t>
            </w:r>
            <w:proofErr w:type="gram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12" w:type="dxa"/>
            <w:hideMark/>
          </w:tcPr>
          <w:p w:rsidR="00A97001" w:rsidRPr="00A97001" w:rsidRDefault="00A97001" w:rsidP="00A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компонентов и систем для автомобильной индустрии на территории опережающего социально-экономического развития </w:t>
            </w:r>
            <w:proofErr w:type="spell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gramStart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97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ольятти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556D98" w:rsidRPr="00831159" w:rsidRDefault="00556D98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t>АНАЛИТИЧЕСКАЯ ИНФОРМАЦИЯ</w:t>
      </w:r>
    </w:p>
    <w:p w:rsidR="008719DD" w:rsidRDefault="008719DD" w:rsidP="00BA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719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университет при Правительстве РФ подвел итоги исследований качества жизни населения  в  городах  России,  проведенных  в  2018 году. В основу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жизни положены результаты социологических исследований, проведенных  в  течение  2018  года в  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DD">
        <w:rPr>
          <w:rFonts w:ascii="Times New Roman" w:eastAsia="Times New Roman" w:hAnsi="Times New Roman" w:cs="Times New Roman"/>
          <w:sz w:val="24"/>
          <w:szCs w:val="24"/>
          <w:lang w:eastAsia="ru-RU"/>
        </w:rPr>
        <w:t>с  населением  более  250  тыс.  человек. Кроме этого,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качества жизни использовалась  официальная  статистика  Росстата,  а также другие данные по настроениям населения в городах России.</w:t>
      </w:r>
    </w:p>
    <w:p w:rsidR="000E0CE3" w:rsidRDefault="001338A7" w:rsidP="000E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E0CE3" w:rsidRPr="000E0CE3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В 10 крупных и средних российских городах по интегральному индексу качества жизни по итогам исследований 2018 года вошли следующие города</w:t>
        </w:r>
      </w:hyperlink>
      <w:r w:rsidR="000E0CE3" w:rsidRPr="00F05770">
        <w:rPr>
          <w:rFonts w:ascii="Times New Roman" w:eastAsia="Arial Unicode MS" w:hAnsi="Times New Roman" w:cs="Times New Roman"/>
          <w:sz w:val="24"/>
          <w:szCs w:val="24"/>
        </w:rPr>
        <w:t xml:space="preserve">:  </w:t>
      </w:r>
      <w:r w:rsidR="000E0CE3" w:rsidRPr="00193EC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Тюмень,</w:t>
      </w:r>
      <w:r w:rsidR="000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E3" w:rsidRPr="0019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Грозный,</w:t>
      </w:r>
      <w:r w:rsidR="000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E3" w:rsidRPr="00193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 w:rsidR="000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E3" w:rsidRPr="00193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Казань,</w:t>
      </w:r>
      <w:r w:rsidR="000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E3" w:rsidRPr="0019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Сочи,</w:t>
      </w:r>
      <w:r w:rsidR="000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E3" w:rsidRPr="00193E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</w:t>
      </w:r>
      <w:r w:rsidR="000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E3" w:rsidRPr="0019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</w:t>
      </w:r>
      <w:r w:rsidR="000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E3" w:rsidRPr="00193E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Череповец,</w:t>
      </w:r>
      <w:r w:rsidR="000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E3" w:rsidRPr="00193E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Тула,</w:t>
      </w:r>
      <w:r w:rsidR="000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E3" w:rsidRPr="0019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0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3518" w:rsidRPr="000E0CE3" w:rsidRDefault="00693518" w:rsidP="00E44969">
      <w:pPr>
        <w:pStyle w:val="a3"/>
        <w:spacing w:before="0" w:beforeAutospacing="0" w:after="120" w:afterAutospacing="0"/>
        <w:ind w:firstLine="709"/>
        <w:jc w:val="both"/>
        <w:rPr>
          <w:bCs/>
        </w:rPr>
      </w:pPr>
      <w:r w:rsidRPr="000E0CE3">
        <w:rPr>
          <w:b/>
          <w:bCs/>
        </w:rPr>
        <w:t xml:space="preserve">Городской округ Тольятти занял </w:t>
      </w:r>
      <w:r>
        <w:rPr>
          <w:b/>
          <w:bCs/>
        </w:rPr>
        <w:t>75</w:t>
      </w:r>
      <w:r w:rsidRPr="000E0CE3">
        <w:rPr>
          <w:b/>
          <w:bCs/>
        </w:rPr>
        <w:t xml:space="preserve"> место в рейтинге</w:t>
      </w:r>
      <w:r w:rsidRPr="000E0CE3">
        <w:rPr>
          <w:bCs/>
        </w:rPr>
        <w:t xml:space="preserve">. </w:t>
      </w:r>
    </w:p>
    <w:p w:rsidR="00F05770" w:rsidRDefault="00693518" w:rsidP="001B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Оценка к</w:t>
      </w:r>
      <w:r w:rsidR="00F05770" w:rsidRPr="00F05770">
        <w:rPr>
          <w:rFonts w:ascii="Times New Roman" w:eastAsia="Arial Unicode MS" w:hAnsi="Times New Roman" w:cs="Times New Roman"/>
          <w:sz w:val="24"/>
          <w:szCs w:val="24"/>
        </w:rPr>
        <w:t>ачеств</w:t>
      </w: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="00F05770" w:rsidRPr="00F05770">
        <w:rPr>
          <w:rFonts w:ascii="Times New Roman" w:eastAsia="Arial Unicode MS" w:hAnsi="Times New Roman" w:cs="Times New Roman"/>
          <w:sz w:val="24"/>
          <w:szCs w:val="24"/>
        </w:rPr>
        <w:t xml:space="preserve"> жизни в городах России построен</w:t>
      </w: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="00F05770" w:rsidRPr="00F057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по </w:t>
      </w:r>
      <w:r w:rsidR="00F05770" w:rsidRPr="00F05770">
        <w:rPr>
          <w:rFonts w:ascii="Times New Roman" w:eastAsia="Arial Unicode MS" w:hAnsi="Times New Roman" w:cs="Times New Roman"/>
          <w:sz w:val="24"/>
          <w:szCs w:val="24"/>
        </w:rPr>
        <w:t>следующи</w:t>
      </w:r>
      <w:r>
        <w:rPr>
          <w:rFonts w:ascii="Times New Roman" w:eastAsia="Arial Unicode MS" w:hAnsi="Times New Roman" w:cs="Times New Roman"/>
          <w:sz w:val="24"/>
          <w:szCs w:val="24"/>
        </w:rPr>
        <w:t>м</w:t>
      </w:r>
      <w:r w:rsidR="00F05770" w:rsidRPr="00F057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показателям</w:t>
      </w:r>
      <w:r w:rsidR="00F05770" w:rsidRPr="00F0577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F05770" w:rsidRDefault="00F05770" w:rsidP="001B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5770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05770">
        <w:rPr>
          <w:rFonts w:ascii="Times New Roman" w:eastAsia="Arial Unicode MS" w:hAnsi="Times New Roman" w:cs="Times New Roman"/>
          <w:sz w:val="24"/>
          <w:szCs w:val="24"/>
        </w:rPr>
        <w:t>Качество медицинского обслуживания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5770" w:rsidRDefault="00F05770" w:rsidP="001B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5770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05770">
        <w:rPr>
          <w:rFonts w:ascii="Times New Roman" w:eastAsia="Arial Unicode MS" w:hAnsi="Times New Roman" w:cs="Times New Roman"/>
          <w:sz w:val="24"/>
          <w:szCs w:val="24"/>
        </w:rPr>
        <w:t>Состояние дорожного хозяйства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5770" w:rsidRDefault="00F05770" w:rsidP="001B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5770">
        <w:rPr>
          <w:rFonts w:ascii="Times New Roman" w:eastAsia="Arial Unicode MS" w:hAnsi="Times New Roman" w:cs="Times New Roman"/>
          <w:sz w:val="24"/>
          <w:szCs w:val="24"/>
        </w:rPr>
        <w:t>3.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05770">
        <w:rPr>
          <w:rFonts w:ascii="Times New Roman" w:eastAsia="Arial Unicode MS" w:hAnsi="Times New Roman" w:cs="Times New Roman"/>
          <w:sz w:val="24"/>
          <w:szCs w:val="24"/>
        </w:rPr>
        <w:t>Развитие культуры и образования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5770" w:rsidRDefault="00F05770" w:rsidP="001B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5770">
        <w:rPr>
          <w:rFonts w:ascii="Times New Roman" w:eastAsia="Arial Unicode MS" w:hAnsi="Times New Roman" w:cs="Times New Roman"/>
          <w:sz w:val="24"/>
          <w:szCs w:val="24"/>
        </w:rPr>
        <w:t>4.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05770">
        <w:rPr>
          <w:rFonts w:ascii="Times New Roman" w:eastAsia="Arial Unicode MS" w:hAnsi="Times New Roman" w:cs="Times New Roman"/>
          <w:sz w:val="24"/>
          <w:szCs w:val="24"/>
        </w:rPr>
        <w:t>Работа ЖКХ и объем жилищного строительства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F057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05770" w:rsidRDefault="00F05770" w:rsidP="001B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5770">
        <w:rPr>
          <w:rFonts w:ascii="Times New Roman" w:eastAsia="Arial Unicode MS" w:hAnsi="Times New Roman" w:cs="Times New Roman"/>
          <w:sz w:val="24"/>
          <w:szCs w:val="24"/>
        </w:rPr>
        <w:t>5.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05770">
        <w:rPr>
          <w:rFonts w:ascii="Times New Roman" w:eastAsia="Arial Unicode MS" w:hAnsi="Times New Roman" w:cs="Times New Roman"/>
          <w:sz w:val="24"/>
          <w:szCs w:val="24"/>
        </w:rPr>
        <w:t>Оценка работы городских властей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5770" w:rsidRPr="00902D6B" w:rsidRDefault="00F05770" w:rsidP="001B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</w:rPr>
      </w:pPr>
      <w:r w:rsidRPr="00F05770">
        <w:rPr>
          <w:rFonts w:ascii="Times New Roman" w:eastAsia="Arial Unicode MS" w:hAnsi="Times New Roman" w:cs="Times New Roman"/>
          <w:sz w:val="24"/>
          <w:szCs w:val="24"/>
        </w:rPr>
        <w:t>6.</w:t>
      </w:r>
      <w:r w:rsidR="001701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05770">
        <w:rPr>
          <w:rFonts w:ascii="Times New Roman" w:eastAsia="Arial Unicode MS" w:hAnsi="Times New Roman" w:cs="Times New Roman"/>
          <w:sz w:val="24"/>
          <w:szCs w:val="24"/>
        </w:rPr>
        <w:t>Оценка  населением  удобства  города  для жизни, миграционные настроения населения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05770">
        <w:rPr>
          <w:rFonts w:ascii="Times New Roman" w:eastAsia="Arial Unicode MS" w:hAnsi="Times New Roman" w:cs="Times New Roman"/>
          <w:sz w:val="24"/>
          <w:szCs w:val="24"/>
        </w:rPr>
        <w:t>и самооценка жителями своего уровня дохода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E2B21" w:rsidRDefault="008E2B21" w:rsidP="004B5964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4B5964" w:rsidRDefault="00DF6523" w:rsidP="004B5964">
      <w:pPr>
        <w:pStyle w:val="a3"/>
        <w:spacing w:before="0" w:beforeAutospacing="0" w:after="0" w:afterAutospacing="0"/>
        <w:ind w:firstLine="709"/>
        <w:jc w:val="both"/>
      </w:pPr>
      <w:r w:rsidRPr="000E0CE3">
        <w:rPr>
          <w:bCs/>
        </w:rPr>
        <w:t xml:space="preserve">В рейтинге городов по показателю </w:t>
      </w:r>
      <w:r w:rsidR="00A97001" w:rsidRPr="000E0CE3">
        <w:rPr>
          <w:bCs/>
        </w:rPr>
        <w:t>«</w:t>
      </w:r>
      <w:r w:rsidR="00360359" w:rsidRPr="000E0CE3">
        <w:rPr>
          <w:rStyle w:val="1"/>
          <w:rFonts w:ascii="Times New Roman" w:hAnsi="Times New Roman" w:cs="Times New Roman"/>
          <w:sz w:val="24"/>
          <w:szCs w:val="24"/>
        </w:rPr>
        <w:t xml:space="preserve">Качество медицинского </w:t>
      </w:r>
      <w:r w:rsidR="00360359" w:rsidRPr="000E0CE3">
        <w:rPr>
          <w:rStyle w:val="1"/>
          <w:rFonts w:ascii="Times New Roman" w:hAnsi="Times New Roman" w:cs="Times New Roman"/>
          <w:color w:val="auto"/>
          <w:sz w:val="24"/>
          <w:szCs w:val="24"/>
        </w:rPr>
        <w:t>об</w:t>
      </w:r>
      <w:r w:rsidR="00360359" w:rsidRPr="000E0CE3">
        <w:rPr>
          <w:rStyle w:val="1"/>
          <w:rFonts w:ascii="Times New Roman" w:hAnsi="Times New Roman" w:cs="Times New Roman"/>
          <w:color w:val="auto"/>
          <w:sz w:val="24"/>
          <w:szCs w:val="24"/>
        </w:rPr>
        <w:softHyphen/>
        <w:t>сл</w:t>
      </w:r>
      <w:r w:rsidR="00360359" w:rsidRPr="000E0CE3">
        <w:rPr>
          <w:rStyle w:val="1"/>
          <w:rFonts w:ascii="Times New Roman" w:hAnsi="Times New Roman" w:cs="Times New Roman"/>
          <w:sz w:val="24"/>
          <w:szCs w:val="24"/>
        </w:rPr>
        <w:t>уживания</w:t>
      </w:r>
      <w:r w:rsidR="00A97001" w:rsidRPr="000E0CE3">
        <w:rPr>
          <w:bCs/>
        </w:rPr>
        <w:t>»</w:t>
      </w:r>
      <w:r w:rsidR="001B14B0" w:rsidRPr="000E0CE3">
        <w:rPr>
          <w:bCs/>
        </w:rPr>
        <w:t>:</w:t>
      </w:r>
      <w:r w:rsidR="00BC4A1B" w:rsidRPr="000E0CE3">
        <w:rPr>
          <w:bCs/>
        </w:rPr>
        <w:t xml:space="preserve"> </w:t>
      </w:r>
      <w:r w:rsidRPr="000E0CE3">
        <w:t xml:space="preserve">первое место </w:t>
      </w:r>
      <w:r w:rsidR="00950657" w:rsidRPr="000E0CE3">
        <w:t xml:space="preserve">– </w:t>
      </w:r>
      <w:r w:rsidR="004B5964">
        <w:t>Москва</w:t>
      </w:r>
      <w:r w:rsidR="00950657" w:rsidRPr="000E0CE3">
        <w:t>;</w:t>
      </w:r>
      <w:r w:rsidR="00BC4A1B" w:rsidRPr="000E0CE3">
        <w:t xml:space="preserve"> </w:t>
      </w:r>
      <w:r w:rsidRPr="000E0CE3">
        <w:t>второ</w:t>
      </w:r>
      <w:r w:rsidR="00360359" w:rsidRPr="000E0CE3">
        <w:t>е</w:t>
      </w:r>
      <w:r w:rsidRPr="000E0CE3">
        <w:t xml:space="preserve"> мест</w:t>
      </w:r>
      <w:r w:rsidR="00360359" w:rsidRPr="000E0CE3">
        <w:t>о</w:t>
      </w:r>
      <w:r w:rsidRPr="000E0CE3">
        <w:t xml:space="preserve"> </w:t>
      </w:r>
      <w:r w:rsidR="00360359" w:rsidRPr="000E0CE3">
        <w:t>–</w:t>
      </w:r>
      <w:r w:rsidRPr="000E0CE3">
        <w:t xml:space="preserve"> </w:t>
      </w:r>
      <w:r w:rsidR="004B5964" w:rsidRPr="004B5964">
        <w:t>Санкт-Петербург</w:t>
      </w:r>
      <w:r w:rsidR="00360359" w:rsidRPr="000E0CE3">
        <w:t>;</w:t>
      </w:r>
      <w:r w:rsidRPr="000E0CE3">
        <w:t xml:space="preserve"> третье</w:t>
      </w:r>
      <w:r w:rsidR="00223D62" w:rsidRPr="000E0CE3">
        <w:t xml:space="preserve"> мест</w:t>
      </w:r>
      <w:r w:rsidR="00360359" w:rsidRPr="000E0CE3">
        <w:t>о</w:t>
      </w:r>
      <w:r w:rsidRPr="000E0CE3">
        <w:t xml:space="preserve"> – </w:t>
      </w:r>
      <w:r w:rsidR="004B5964">
        <w:t xml:space="preserve">Сургут. </w:t>
      </w:r>
    </w:p>
    <w:p w:rsidR="00DF6523" w:rsidRPr="00E44969" w:rsidRDefault="005D65C2" w:rsidP="00E44969">
      <w:pPr>
        <w:pStyle w:val="a3"/>
        <w:spacing w:before="0" w:beforeAutospacing="0" w:after="120" w:afterAutospacing="0"/>
        <w:ind w:firstLine="709"/>
        <w:jc w:val="both"/>
        <w:rPr>
          <w:b/>
          <w:bCs/>
        </w:rPr>
      </w:pPr>
      <w:r w:rsidRPr="000E0CE3">
        <w:rPr>
          <w:b/>
          <w:bCs/>
        </w:rPr>
        <w:t xml:space="preserve">Городской округ </w:t>
      </w:r>
      <w:r w:rsidR="00DF6523" w:rsidRPr="000E0CE3">
        <w:rPr>
          <w:b/>
          <w:bCs/>
        </w:rPr>
        <w:t xml:space="preserve">Тольятти занял </w:t>
      </w:r>
      <w:r w:rsidR="004B5964">
        <w:rPr>
          <w:b/>
          <w:bCs/>
        </w:rPr>
        <w:t>60</w:t>
      </w:r>
      <w:r w:rsidR="00DF6523" w:rsidRPr="000E0CE3">
        <w:rPr>
          <w:b/>
          <w:bCs/>
        </w:rPr>
        <w:t xml:space="preserve"> место в рейтинге</w:t>
      </w:r>
      <w:r w:rsidR="00DF6523" w:rsidRPr="00E44969">
        <w:rPr>
          <w:b/>
          <w:bCs/>
        </w:rPr>
        <w:t xml:space="preserve">. </w:t>
      </w:r>
    </w:p>
    <w:p w:rsidR="008D37FD" w:rsidRDefault="004B5964" w:rsidP="008D37FD">
      <w:pPr>
        <w:pStyle w:val="a3"/>
        <w:spacing w:before="0" w:beforeAutospacing="0" w:after="0" w:afterAutospacing="0"/>
        <w:ind w:firstLine="709"/>
        <w:jc w:val="both"/>
      </w:pPr>
      <w:r w:rsidRPr="000E0CE3">
        <w:rPr>
          <w:bCs/>
        </w:rPr>
        <w:t>В рейтинге городов по показателю</w:t>
      </w:r>
      <w:r>
        <w:rPr>
          <w:bCs/>
        </w:rPr>
        <w:t xml:space="preserve"> «</w:t>
      </w:r>
      <w:r w:rsidRPr="00F05770">
        <w:rPr>
          <w:rFonts w:eastAsia="Arial Unicode MS"/>
        </w:rPr>
        <w:t>Состояние дорожного хозяйства</w:t>
      </w:r>
      <w:r>
        <w:rPr>
          <w:rFonts w:eastAsia="Arial Unicode MS"/>
        </w:rPr>
        <w:t>»:</w:t>
      </w:r>
      <w:r w:rsidR="008D37FD">
        <w:rPr>
          <w:rFonts w:eastAsia="Arial Unicode MS"/>
        </w:rPr>
        <w:t xml:space="preserve"> </w:t>
      </w:r>
      <w:r w:rsidR="008D37FD" w:rsidRPr="000E0CE3">
        <w:t xml:space="preserve">первое место – </w:t>
      </w:r>
      <w:r w:rsidR="008D37FD">
        <w:t>Грозный</w:t>
      </w:r>
      <w:r w:rsidR="008D37FD" w:rsidRPr="000E0CE3">
        <w:t xml:space="preserve">; второе место – </w:t>
      </w:r>
      <w:r w:rsidR="008D37FD">
        <w:t>Казань</w:t>
      </w:r>
      <w:r w:rsidR="008D37FD" w:rsidRPr="000E0CE3">
        <w:t xml:space="preserve">; третье место – </w:t>
      </w:r>
      <w:r w:rsidR="008D37FD">
        <w:t xml:space="preserve">Череповец. </w:t>
      </w:r>
    </w:p>
    <w:p w:rsidR="008D37FD" w:rsidRPr="00E44969" w:rsidRDefault="008D37FD" w:rsidP="00E44969">
      <w:pPr>
        <w:pStyle w:val="a3"/>
        <w:spacing w:before="0" w:beforeAutospacing="0" w:after="120" w:afterAutospacing="0"/>
        <w:ind w:firstLine="709"/>
        <w:jc w:val="both"/>
        <w:rPr>
          <w:b/>
          <w:bCs/>
        </w:rPr>
      </w:pPr>
      <w:r w:rsidRPr="000E0CE3">
        <w:rPr>
          <w:b/>
          <w:bCs/>
        </w:rPr>
        <w:t xml:space="preserve">Городской округ Тольятти занял </w:t>
      </w:r>
      <w:r>
        <w:rPr>
          <w:b/>
          <w:bCs/>
        </w:rPr>
        <w:t>32</w:t>
      </w:r>
      <w:r w:rsidRPr="000E0CE3">
        <w:rPr>
          <w:b/>
          <w:bCs/>
        </w:rPr>
        <w:t xml:space="preserve"> место в рейтинге</w:t>
      </w:r>
      <w:r w:rsidRPr="00E44969">
        <w:rPr>
          <w:b/>
          <w:bCs/>
        </w:rPr>
        <w:t xml:space="preserve">. </w:t>
      </w:r>
    </w:p>
    <w:p w:rsidR="008D37FD" w:rsidRDefault="008D37FD" w:rsidP="008D37FD">
      <w:pPr>
        <w:pStyle w:val="a3"/>
        <w:spacing w:before="0" w:beforeAutospacing="0" w:after="0" w:afterAutospacing="0"/>
        <w:ind w:firstLine="709"/>
        <w:jc w:val="both"/>
      </w:pPr>
      <w:r w:rsidRPr="000E0CE3">
        <w:rPr>
          <w:bCs/>
        </w:rPr>
        <w:t>В рейтинге городов по показателю</w:t>
      </w:r>
      <w:r>
        <w:rPr>
          <w:bCs/>
        </w:rPr>
        <w:t xml:space="preserve"> «</w:t>
      </w:r>
      <w:r w:rsidRPr="00F05770">
        <w:rPr>
          <w:rFonts w:eastAsia="Arial Unicode MS"/>
        </w:rPr>
        <w:t>Развитие культуры и образования</w:t>
      </w:r>
      <w:r>
        <w:rPr>
          <w:rFonts w:eastAsia="Arial Unicode MS"/>
        </w:rPr>
        <w:t xml:space="preserve">»: </w:t>
      </w:r>
      <w:r w:rsidRPr="000E0CE3">
        <w:t xml:space="preserve">первое место – </w:t>
      </w:r>
      <w:r w:rsidRPr="008D37FD">
        <w:t>Красноярск</w:t>
      </w:r>
      <w:r w:rsidRPr="000E0CE3">
        <w:t xml:space="preserve">; второе место – </w:t>
      </w:r>
      <w:r>
        <w:t>Краснодар</w:t>
      </w:r>
      <w:r w:rsidRPr="000E0CE3">
        <w:t xml:space="preserve">; третье место – </w:t>
      </w:r>
      <w:r>
        <w:t xml:space="preserve">Москва. </w:t>
      </w:r>
    </w:p>
    <w:p w:rsidR="008D37FD" w:rsidRPr="00E44969" w:rsidRDefault="008D37FD" w:rsidP="00E44969">
      <w:pPr>
        <w:pStyle w:val="a3"/>
        <w:spacing w:before="0" w:beforeAutospacing="0" w:after="120" w:afterAutospacing="0"/>
        <w:ind w:firstLine="709"/>
        <w:jc w:val="both"/>
        <w:rPr>
          <w:b/>
          <w:bCs/>
        </w:rPr>
      </w:pPr>
      <w:r w:rsidRPr="000E0CE3">
        <w:rPr>
          <w:b/>
          <w:bCs/>
        </w:rPr>
        <w:t xml:space="preserve">Городской округ Тольятти занял </w:t>
      </w:r>
      <w:r>
        <w:rPr>
          <w:b/>
          <w:bCs/>
        </w:rPr>
        <w:t>76</w:t>
      </w:r>
      <w:r w:rsidRPr="000E0CE3">
        <w:rPr>
          <w:b/>
          <w:bCs/>
        </w:rPr>
        <w:t xml:space="preserve"> место в рейтинге</w:t>
      </w:r>
      <w:r w:rsidRPr="00E44969">
        <w:rPr>
          <w:b/>
          <w:bCs/>
        </w:rPr>
        <w:t xml:space="preserve">. </w:t>
      </w:r>
    </w:p>
    <w:p w:rsidR="008D37FD" w:rsidRDefault="008D37FD" w:rsidP="008D37FD">
      <w:pPr>
        <w:pStyle w:val="a3"/>
        <w:spacing w:before="0" w:beforeAutospacing="0" w:after="0" w:afterAutospacing="0"/>
        <w:ind w:firstLine="709"/>
        <w:jc w:val="both"/>
      </w:pPr>
      <w:r w:rsidRPr="000E0CE3">
        <w:rPr>
          <w:bCs/>
        </w:rPr>
        <w:lastRenderedPageBreak/>
        <w:t>В рейтинге городов по показателю</w:t>
      </w:r>
      <w:r>
        <w:rPr>
          <w:bCs/>
        </w:rPr>
        <w:t xml:space="preserve"> «</w:t>
      </w:r>
      <w:r w:rsidRPr="00F05770">
        <w:rPr>
          <w:rFonts w:eastAsia="Arial Unicode MS"/>
        </w:rPr>
        <w:t>Работа ЖКХ и объем жилищного строительства</w:t>
      </w:r>
      <w:r>
        <w:rPr>
          <w:rFonts w:eastAsia="Arial Unicode MS"/>
        </w:rPr>
        <w:t xml:space="preserve">»: </w:t>
      </w:r>
      <w:r w:rsidRPr="000E0CE3">
        <w:t xml:space="preserve">первое место – </w:t>
      </w:r>
      <w:r w:rsidR="00455F07">
        <w:t>Грозный</w:t>
      </w:r>
      <w:r w:rsidRPr="000E0CE3">
        <w:t xml:space="preserve">; второе место – </w:t>
      </w:r>
      <w:r w:rsidR="00455F07" w:rsidRPr="00455F07">
        <w:t>Нижневартовск</w:t>
      </w:r>
      <w:r w:rsidRPr="000E0CE3">
        <w:t xml:space="preserve">; третье место – </w:t>
      </w:r>
      <w:r w:rsidR="00455F07" w:rsidRPr="00455F07">
        <w:t>Стерлитамак</w:t>
      </w:r>
      <w:r>
        <w:t xml:space="preserve">. </w:t>
      </w:r>
    </w:p>
    <w:p w:rsidR="008D37FD" w:rsidRPr="00E44969" w:rsidRDefault="008D37FD" w:rsidP="00E44969">
      <w:pPr>
        <w:pStyle w:val="a3"/>
        <w:spacing w:before="0" w:beforeAutospacing="0" w:after="120" w:afterAutospacing="0"/>
        <w:ind w:firstLine="709"/>
        <w:jc w:val="both"/>
        <w:rPr>
          <w:b/>
          <w:bCs/>
        </w:rPr>
      </w:pPr>
      <w:r w:rsidRPr="000E0CE3">
        <w:rPr>
          <w:b/>
          <w:bCs/>
        </w:rPr>
        <w:t xml:space="preserve">Городской округ Тольятти занял </w:t>
      </w:r>
      <w:r w:rsidR="00455F07">
        <w:rPr>
          <w:b/>
          <w:bCs/>
        </w:rPr>
        <w:t>33</w:t>
      </w:r>
      <w:r w:rsidRPr="000E0CE3">
        <w:rPr>
          <w:b/>
          <w:bCs/>
        </w:rPr>
        <w:t xml:space="preserve"> место в рейтинге</w:t>
      </w:r>
      <w:r w:rsidRPr="00E44969">
        <w:rPr>
          <w:b/>
          <w:bCs/>
        </w:rPr>
        <w:t xml:space="preserve">. </w:t>
      </w:r>
    </w:p>
    <w:p w:rsidR="00263013" w:rsidRDefault="00263013" w:rsidP="00263013">
      <w:pPr>
        <w:pStyle w:val="a3"/>
        <w:spacing w:before="0" w:beforeAutospacing="0" w:after="0" w:afterAutospacing="0"/>
        <w:ind w:firstLine="709"/>
        <w:jc w:val="both"/>
      </w:pPr>
      <w:r w:rsidRPr="000E0CE3">
        <w:rPr>
          <w:bCs/>
        </w:rPr>
        <w:t>В рейтинге городов по показателю</w:t>
      </w:r>
      <w:r>
        <w:rPr>
          <w:bCs/>
        </w:rPr>
        <w:t xml:space="preserve"> «</w:t>
      </w:r>
      <w:r w:rsidRPr="00F05770">
        <w:rPr>
          <w:rFonts w:eastAsia="Arial Unicode MS"/>
        </w:rPr>
        <w:t>Оценка работы городских властей</w:t>
      </w:r>
      <w:r>
        <w:rPr>
          <w:rFonts w:eastAsia="Arial Unicode MS"/>
        </w:rPr>
        <w:t xml:space="preserve">»: </w:t>
      </w:r>
      <w:r w:rsidRPr="000E0CE3">
        <w:t xml:space="preserve">первое место – </w:t>
      </w:r>
      <w:r>
        <w:t>Калуга</w:t>
      </w:r>
      <w:r w:rsidRPr="000E0CE3">
        <w:t xml:space="preserve">; второе место – </w:t>
      </w:r>
      <w:r>
        <w:t>Тюмень</w:t>
      </w:r>
      <w:r w:rsidRPr="000E0CE3">
        <w:t xml:space="preserve">; третье место – </w:t>
      </w:r>
      <w:r>
        <w:t xml:space="preserve">Нижний Тагил. </w:t>
      </w:r>
    </w:p>
    <w:p w:rsidR="00263013" w:rsidRPr="00E44969" w:rsidRDefault="00263013" w:rsidP="00E44969">
      <w:pPr>
        <w:pStyle w:val="a3"/>
        <w:spacing w:before="0" w:beforeAutospacing="0" w:after="120" w:afterAutospacing="0"/>
        <w:ind w:firstLine="709"/>
        <w:jc w:val="both"/>
        <w:rPr>
          <w:b/>
          <w:bCs/>
        </w:rPr>
      </w:pPr>
      <w:r w:rsidRPr="000E0CE3">
        <w:rPr>
          <w:b/>
          <w:bCs/>
        </w:rPr>
        <w:t xml:space="preserve">Городской округ Тольятти занял </w:t>
      </w:r>
      <w:r>
        <w:rPr>
          <w:b/>
          <w:bCs/>
        </w:rPr>
        <w:t>71</w:t>
      </w:r>
      <w:r w:rsidRPr="000E0CE3">
        <w:rPr>
          <w:b/>
          <w:bCs/>
        </w:rPr>
        <w:t xml:space="preserve"> место в рейтинге</w:t>
      </w:r>
      <w:r w:rsidRPr="00E44969">
        <w:rPr>
          <w:b/>
          <w:bCs/>
        </w:rPr>
        <w:t xml:space="preserve">. </w:t>
      </w:r>
    </w:p>
    <w:p w:rsidR="00263013" w:rsidRDefault="00263013" w:rsidP="00263013">
      <w:pPr>
        <w:pStyle w:val="a3"/>
        <w:spacing w:before="0" w:beforeAutospacing="0" w:after="0" w:afterAutospacing="0"/>
        <w:ind w:firstLine="709"/>
        <w:jc w:val="both"/>
      </w:pPr>
      <w:r w:rsidRPr="000E0CE3">
        <w:rPr>
          <w:bCs/>
        </w:rPr>
        <w:t>В рейтинге городов по показателю</w:t>
      </w:r>
      <w:r>
        <w:rPr>
          <w:bCs/>
        </w:rPr>
        <w:t xml:space="preserve"> «</w:t>
      </w:r>
      <w:r w:rsidRPr="00F05770">
        <w:rPr>
          <w:rFonts w:eastAsia="Arial Unicode MS"/>
        </w:rPr>
        <w:t>Оценка  населением  удобства  города  для жизни, миграционные настроения населения</w:t>
      </w:r>
      <w:r>
        <w:rPr>
          <w:rFonts w:eastAsia="Arial Unicode MS"/>
        </w:rPr>
        <w:t xml:space="preserve"> </w:t>
      </w:r>
      <w:r w:rsidRPr="00F05770">
        <w:rPr>
          <w:rFonts w:eastAsia="Arial Unicode MS"/>
        </w:rPr>
        <w:t>и самооценка жителями своего уровня дохода</w:t>
      </w:r>
      <w:r>
        <w:rPr>
          <w:rFonts w:eastAsia="Arial Unicode MS"/>
        </w:rPr>
        <w:t xml:space="preserve">»: </w:t>
      </w:r>
      <w:r w:rsidRPr="000E0CE3">
        <w:t xml:space="preserve">первое место – </w:t>
      </w:r>
      <w:r>
        <w:t>Сочи</w:t>
      </w:r>
      <w:r w:rsidRPr="000E0CE3">
        <w:t xml:space="preserve">; второе место – </w:t>
      </w:r>
      <w:r>
        <w:t>Тюмень</w:t>
      </w:r>
      <w:r w:rsidRPr="000E0CE3">
        <w:t xml:space="preserve">; третье место – </w:t>
      </w:r>
      <w:r>
        <w:t xml:space="preserve">Балашиха. </w:t>
      </w:r>
    </w:p>
    <w:p w:rsidR="00263013" w:rsidRPr="00E44969" w:rsidRDefault="00263013" w:rsidP="00E44969">
      <w:pPr>
        <w:pStyle w:val="a3"/>
        <w:spacing w:before="0" w:beforeAutospacing="0" w:after="120" w:afterAutospacing="0"/>
        <w:ind w:firstLine="709"/>
        <w:jc w:val="both"/>
        <w:rPr>
          <w:b/>
          <w:bCs/>
        </w:rPr>
      </w:pPr>
      <w:r w:rsidRPr="000E0CE3">
        <w:rPr>
          <w:b/>
          <w:bCs/>
        </w:rPr>
        <w:t xml:space="preserve">Городской округ Тольятти занял </w:t>
      </w:r>
      <w:r>
        <w:rPr>
          <w:b/>
          <w:bCs/>
        </w:rPr>
        <w:t>69</w:t>
      </w:r>
      <w:r w:rsidRPr="000E0CE3">
        <w:rPr>
          <w:b/>
          <w:bCs/>
        </w:rPr>
        <w:t xml:space="preserve"> место в рейтинге</w:t>
      </w:r>
      <w:r w:rsidRPr="00E44969">
        <w:rPr>
          <w:b/>
          <w:bCs/>
        </w:rPr>
        <w:t xml:space="preserve">. </w:t>
      </w:r>
    </w:p>
    <w:p w:rsidR="00831159" w:rsidRDefault="00831159" w:rsidP="00736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31159" w:rsidRPr="00351A8C" w:rsidRDefault="00831159" w:rsidP="00736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рейтинге городских округов Самарской области, проводимом Министерством экономического развития и инвестиций Самарской области, по основным социально-экономическим показателям по 2018 года </w:t>
      </w:r>
      <w:r w:rsidRPr="0035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округ Тольятти занял 4 место </w:t>
      </w:r>
      <w:r w:rsidRPr="00351A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7D7E" w:rsidRPr="0035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5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году - </w:t>
      </w:r>
      <w:r w:rsidR="00351A8C" w:rsidRPr="00351A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</w:t>
      </w:r>
      <w:r w:rsidR="005F2E61" w:rsidRPr="005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35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A8C" w:rsidRPr="00351A8C" w:rsidRDefault="001338A7" w:rsidP="00351A8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hyperlink r:id="rId11" w:history="1">
        <w:r w:rsidR="00351A8C" w:rsidRPr="00351A8C">
          <w:rPr>
            <w:rStyle w:val="a4"/>
            <w:bCs/>
          </w:rPr>
          <w:t>В рейтинге городов Самарской области за 2018 год</w:t>
        </w:r>
      </w:hyperlink>
      <w:r w:rsidR="00351A8C" w:rsidRPr="00351A8C">
        <w:rPr>
          <w:bCs/>
        </w:rPr>
        <w:t xml:space="preserve"> городской округ Тольятти занял следующие места</w:t>
      </w:r>
      <w:r w:rsidR="00960E09" w:rsidRPr="00960E09">
        <w:rPr>
          <w:bCs/>
        </w:rPr>
        <w:t xml:space="preserve"> [2]</w:t>
      </w:r>
      <w:r w:rsidR="00351A8C" w:rsidRPr="00351A8C">
        <w:rPr>
          <w:bCs/>
        </w:rPr>
        <w:t>: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5918"/>
        <w:gridCol w:w="1845"/>
        <w:gridCol w:w="1701"/>
      </w:tblGrid>
      <w:tr w:rsidR="0005664F" w:rsidRPr="00351A8C" w:rsidTr="00056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shd w:val="clear" w:color="auto" w:fill="2A5DA8"/>
          </w:tcPr>
          <w:p w:rsidR="0005664F" w:rsidRPr="00351A8C" w:rsidRDefault="0005664F" w:rsidP="00C74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5" w:type="dxa"/>
            <w:shd w:val="clear" w:color="auto" w:fill="2A5DA8"/>
          </w:tcPr>
          <w:p w:rsidR="0005664F" w:rsidRPr="00351A8C" w:rsidRDefault="0005664F" w:rsidP="00C74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shd w:val="clear" w:color="auto" w:fill="2A5DA8"/>
          </w:tcPr>
          <w:p w:rsidR="0005664F" w:rsidRPr="00351A8C" w:rsidRDefault="0005664F" w:rsidP="00A44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05664F" w:rsidRPr="00351A8C" w:rsidTr="0005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shd w:val="clear" w:color="auto" w:fill="2A5DA8"/>
          </w:tcPr>
          <w:p w:rsidR="0005664F" w:rsidRPr="00351A8C" w:rsidRDefault="0005664F" w:rsidP="00652D1A">
            <w:pPr>
              <w:pStyle w:val="a6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 по крупным и средним предприятиям</w:t>
            </w:r>
          </w:p>
        </w:tc>
        <w:tc>
          <w:tcPr>
            <w:tcW w:w="1845" w:type="dxa"/>
          </w:tcPr>
          <w:p w:rsidR="0005664F" w:rsidRPr="00351A8C" w:rsidRDefault="0005664F" w:rsidP="00C74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05664F" w:rsidRPr="00351A8C" w:rsidRDefault="0005664F" w:rsidP="00A44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5664F" w:rsidRPr="00351A8C" w:rsidTr="0005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shd w:val="clear" w:color="auto" w:fill="2A5DA8"/>
          </w:tcPr>
          <w:p w:rsidR="0005664F" w:rsidRPr="00351A8C" w:rsidRDefault="0005664F" w:rsidP="00652D1A">
            <w:pPr>
              <w:pStyle w:val="a6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Отгружено товаров собственного производства по совокупности разделов</w:t>
            </w:r>
            <w:proofErr w:type="gramStart"/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, С, Д, Е на душу населения</w:t>
            </w:r>
          </w:p>
        </w:tc>
        <w:tc>
          <w:tcPr>
            <w:tcW w:w="1845" w:type="dxa"/>
          </w:tcPr>
          <w:p w:rsidR="0005664F" w:rsidRPr="00351A8C" w:rsidRDefault="0005664F" w:rsidP="00C7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05664F" w:rsidRPr="00351A8C" w:rsidRDefault="0005664F" w:rsidP="001C7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5664F" w:rsidRPr="00351A8C" w:rsidTr="0005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shd w:val="clear" w:color="auto" w:fill="2A5DA8"/>
          </w:tcPr>
          <w:p w:rsidR="0005664F" w:rsidRPr="00351A8C" w:rsidRDefault="0005664F" w:rsidP="00652D1A">
            <w:pPr>
              <w:pStyle w:val="a6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 капитал на душу населения</w:t>
            </w:r>
          </w:p>
        </w:tc>
        <w:tc>
          <w:tcPr>
            <w:tcW w:w="1845" w:type="dxa"/>
          </w:tcPr>
          <w:p w:rsidR="0005664F" w:rsidRPr="00351A8C" w:rsidRDefault="0005664F" w:rsidP="00C74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05664F" w:rsidRPr="00351A8C" w:rsidRDefault="0005664F" w:rsidP="00A44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5664F" w:rsidRPr="00351A8C" w:rsidTr="0005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shd w:val="clear" w:color="auto" w:fill="2A5DA8"/>
          </w:tcPr>
          <w:p w:rsidR="0005664F" w:rsidRPr="00351A8C" w:rsidRDefault="0005664F" w:rsidP="00652D1A">
            <w:pPr>
              <w:pStyle w:val="a6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</w:t>
            </w:r>
          </w:p>
        </w:tc>
        <w:tc>
          <w:tcPr>
            <w:tcW w:w="1845" w:type="dxa"/>
          </w:tcPr>
          <w:p w:rsidR="0005664F" w:rsidRPr="00351A8C" w:rsidRDefault="0005664F" w:rsidP="00C7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05664F" w:rsidRPr="00351A8C" w:rsidRDefault="0005664F" w:rsidP="00C7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05664F" w:rsidRPr="00351A8C" w:rsidTr="0005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shd w:val="clear" w:color="auto" w:fill="2A5DA8"/>
          </w:tcPr>
          <w:p w:rsidR="0005664F" w:rsidRPr="00351A8C" w:rsidRDefault="0005664F" w:rsidP="00652D1A">
            <w:pPr>
              <w:pStyle w:val="a6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Уровень официально зарегистрированной безработицы</w:t>
            </w:r>
          </w:p>
        </w:tc>
        <w:tc>
          <w:tcPr>
            <w:tcW w:w="1845" w:type="dxa"/>
          </w:tcPr>
          <w:p w:rsidR="0005664F" w:rsidRPr="00351A8C" w:rsidRDefault="0005664F" w:rsidP="00C74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05664F" w:rsidRPr="00351A8C" w:rsidRDefault="0005664F" w:rsidP="00C74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05664F" w:rsidRPr="00351A8C" w:rsidTr="0005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shd w:val="clear" w:color="auto" w:fill="2A5DA8"/>
          </w:tcPr>
          <w:p w:rsidR="0005664F" w:rsidRPr="00351A8C" w:rsidRDefault="0005664F" w:rsidP="00652D1A">
            <w:pPr>
              <w:pStyle w:val="a6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Бюджетная  обеспеченность за счет налоговых и неналоговых доходов на душу населения</w:t>
            </w:r>
          </w:p>
        </w:tc>
        <w:tc>
          <w:tcPr>
            <w:tcW w:w="1845" w:type="dxa"/>
          </w:tcPr>
          <w:p w:rsidR="0005664F" w:rsidRPr="00351A8C" w:rsidRDefault="0005664F" w:rsidP="00C7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05664F" w:rsidRPr="00351A8C" w:rsidRDefault="0005664F" w:rsidP="00C7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05664F" w:rsidRPr="00351A8C" w:rsidTr="0005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shd w:val="clear" w:color="auto" w:fill="2A5DA8"/>
          </w:tcPr>
          <w:p w:rsidR="0005664F" w:rsidRPr="00351A8C" w:rsidRDefault="0005664F" w:rsidP="00652D1A">
            <w:pPr>
              <w:pStyle w:val="a6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Бюджетная обеспеченность с учетом безвозмездных перечислений на душу населения,</w:t>
            </w:r>
          </w:p>
        </w:tc>
        <w:tc>
          <w:tcPr>
            <w:tcW w:w="1845" w:type="dxa"/>
          </w:tcPr>
          <w:p w:rsidR="0005664F" w:rsidRPr="00351A8C" w:rsidRDefault="0005664F" w:rsidP="00C74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05664F" w:rsidRPr="00351A8C" w:rsidRDefault="0005664F" w:rsidP="00C74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05664F" w:rsidRPr="00902D6B" w:rsidTr="0005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shd w:val="clear" w:color="auto" w:fill="2A5DA8"/>
          </w:tcPr>
          <w:p w:rsidR="0005664F" w:rsidRPr="00351A8C" w:rsidRDefault="0005664F" w:rsidP="00652D1A">
            <w:pPr>
              <w:pStyle w:val="a6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A8C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 (убыль) населения, на 1000 населения</w:t>
            </w:r>
          </w:p>
        </w:tc>
        <w:tc>
          <w:tcPr>
            <w:tcW w:w="1845" w:type="dxa"/>
          </w:tcPr>
          <w:p w:rsidR="0005664F" w:rsidRPr="00351A8C" w:rsidRDefault="0005664F" w:rsidP="00652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664F" w:rsidRPr="00351A8C" w:rsidRDefault="0005664F" w:rsidP="00652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5664F" w:rsidRPr="001C7D7E" w:rsidRDefault="0005664F" w:rsidP="001C7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</w:tbl>
    <w:p w:rsidR="00DF0F64" w:rsidRDefault="00DF0F64" w:rsidP="0002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F6DCF" w:rsidRPr="00831159" w:rsidRDefault="00471FE4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 w:rsidRPr="00831159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t>ДЕЯТЕЛЬНОСТЬ ХОЗЯЙСТВУЮЩИХ СУБЪЕКТОВ</w:t>
      </w:r>
    </w:p>
    <w:p w:rsidR="00CB2A6C" w:rsidRPr="00260878" w:rsidRDefault="00CB2A6C" w:rsidP="00CB2A6C">
      <w:pPr>
        <w:pStyle w:val="a8"/>
        <w:spacing w:before="0" w:line="276" w:lineRule="auto"/>
        <w:ind w:firstLine="709"/>
        <w:rPr>
          <w:sz w:val="24"/>
          <w:szCs w:val="24"/>
        </w:rPr>
      </w:pPr>
      <w:r w:rsidRPr="00260878">
        <w:rPr>
          <w:sz w:val="24"/>
          <w:szCs w:val="24"/>
        </w:rPr>
        <w:t>По данным Статистического регистра предприятий, организаций, их филиалов и других обособленных подразделений в г. Тольятти на 1 октября 2018 года составило 28170 единиц или 26,7 процента от общего количества, учтенных предприятий по Самарской области.</w:t>
      </w:r>
    </w:p>
    <w:p w:rsidR="00CB2A6C" w:rsidRPr="00260878" w:rsidRDefault="00CB2A6C" w:rsidP="00CB2A6C">
      <w:pPr>
        <w:pStyle w:val="a8"/>
        <w:spacing w:before="0" w:line="276" w:lineRule="auto"/>
        <w:ind w:firstLine="709"/>
        <w:rPr>
          <w:sz w:val="24"/>
          <w:szCs w:val="24"/>
        </w:rPr>
      </w:pPr>
      <w:r w:rsidRPr="00260878">
        <w:rPr>
          <w:sz w:val="24"/>
          <w:szCs w:val="24"/>
        </w:rPr>
        <w:t xml:space="preserve">Наибольшее количество учтенных в Статистическом регистре предприятий, организаций, их филиалов и других обособленных подразделений сосредоточено в торговле, в строительстве, в обрабатывающих производствах, в организациях, осуществляющих профессиональную, научную и техническую деятельность. </w:t>
      </w:r>
    </w:p>
    <w:p w:rsidR="00CB2A6C" w:rsidRPr="00260878" w:rsidRDefault="00CB2A6C" w:rsidP="00CB2A6C">
      <w:pPr>
        <w:pStyle w:val="a8"/>
        <w:spacing w:before="0" w:line="276" w:lineRule="auto"/>
        <w:ind w:firstLine="709"/>
        <w:rPr>
          <w:sz w:val="24"/>
          <w:szCs w:val="24"/>
        </w:rPr>
      </w:pPr>
      <w:r w:rsidRPr="00260878">
        <w:rPr>
          <w:sz w:val="24"/>
          <w:szCs w:val="24"/>
        </w:rPr>
        <w:t>По данным Статистического регистра предприятий, организаций, их филиалов и других обособленных подразделений в г. Тольятти на 1 октября 2018 года составило 28170 единиц или 26,7 процента от общего количества, учтенных предприятий по Самарской области</w:t>
      </w:r>
      <w:r w:rsidR="00945B28" w:rsidRPr="00945B28">
        <w:rPr>
          <w:sz w:val="24"/>
          <w:szCs w:val="24"/>
        </w:rPr>
        <w:t xml:space="preserve"> [4]</w:t>
      </w:r>
      <w:r w:rsidRPr="00260878">
        <w:rPr>
          <w:sz w:val="24"/>
          <w:szCs w:val="24"/>
        </w:rPr>
        <w:t>.</w:t>
      </w:r>
    </w:p>
    <w:p w:rsidR="00B446B4" w:rsidRDefault="00B446B4" w:rsidP="008C239C">
      <w:pPr>
        <w:pStyle w:val="a8"/>
        <w:spacing w:before="0"/>
        <w:ind w:firstLine="567"/>
        <w:jc w:val="center"/>
        <w:rPr>
          <w:sz w:val="24"/>
          <w:szCs w:val="24"/>
        </w:rPr>
      </w:pPr>
      <w:r w:rsidRPr="00D602AD">
        <w:rPr>
          <w:b/>
          <w:sz w:val="24"/>
          <w:szCs w:val="24"/>
        </w:rPr>
        <w:lastRenderedPageBreak/>
        <w:t xml:space="preserve">Данные по отдельным </w:t>
      </w:r>
      <w:r w:rsidRPr="00D602AD">
        <w:rPr>
          <w:b/>
          <w:iCs/>
          <w:sz w:val="24"/>
          <w:szCs w:val="24"/>
        </w:rPr>
        <w:t>видам экономической деятельности</w:t>
      </w:r>
      <w:r w:rsidRPr="00260878">
        <w:rPr>
          <w:sz w:val="24"/>
          <w:szCs w:val="24"/>
        </w:rPr>
        <w:t>:</w:t>
      </w:r>
    </w:p>
    <w:tbl>
      <w:tblPr>
        <w:tblStyle w:val="3-1"/>
        <w:tblpPr w:leftFromText="180" w:rightFromText="180" w:vertAnchor="text" w:horzAnchor="margin" w:tblpY="102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B446B4" w:rsidRPr="00902D6B" w:rsidTr="00387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902D6B" w:rsidRDefault="00B446B4" w:rsidP="00B446B4">
            <w:pPr>
              <w:pStyle w:val="a8"/>
              <w:spacing w:befor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shd w:val="clear" w:color="auto" w:fill="2A5DA8"/>
          </w:tcPr>
          <w:p w:rsidR="00B446B4" w:rsidRPr="00902D6B" w:rsidRDefault="00B446B4" w:rsidP="00CB2A6C">
            <w:pPr>
              <w:pStyle w:val="a8"/>
              <w:spacing w:before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CB2A6C">
              <w:rPr>
                <w:sz w:val="22"/>
                <w:szCs w:val="22"/>
              </w:rPr>
              <w:t>Число предприятий на 01.</w:t>
            </w:r>
            <w:r w:rsidR="00CB2A6C" w:rsidRPr="00CB2A6C">
              <w:rPr>
                <w:sz w:val="22"/>
                <w:szCs w:val="22"/>
              </w:rPr>
              <w:t>10</w:t>
            </w:r>
            <w:r w:rsidRPr="00CB2A6C">
              <w:rPr>
                <w:sz w:val="22"/>
                <w:szCs w:val="22"/>
              </w:rPr>
              <w:t>.2018 г., единиц</w:t>
            </w: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3870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</w:tcPr>
          <w:p w:rsidR="00B446B4" w:rsidRPr="00CB2A6C" w:rsidRDefault="00B446B4" w:rsidP="00CB2A6C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B2A6C" w:rsidRPr="00CB2A6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CB2A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B2A6C" w:rsidRPr="00CB2A6C">
              <w:rPr>
                <w:rFonts w:ascii="Times New Roman" w:hAnsi="Times New Roman" w:cs="Times New Roman"/>
                <w:b/>
                <w:bCs/>
                <w:color w:val="000000"/>
              </w:rPr>
              <w:t>170</w:t>
            </w:r>
          </w:p>
        </w:tc>
      </w:tr>
      <w:tr w:rsidR="00B446B4" w:rsidRPr="00902D6B" w:rsidTr="0038706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38706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2552" w:type="dxa"/>
          </w:tcPr>
          <w:p w:rsidR="00B446B4" w:rsidRPr="00CB2A6C" w:rsidRDefault="00B446B4" w:rsidP="00B446B4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2552" w:type="dxa"/>
          </w:tcPr>
          <w:p w:rsidR="00B446B4" w:rsidRPr="00CB2A6C" w:rsidRDefault="00B446B4" w:rsidP="00CB2A6C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23</w:t>
            </w:r>
            <w:r w:rsidR="00CB2A6C" w:rsidRPr="00CB2A6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B446B4" w:rsidRPr="00902D6B" w:rsidTr="0038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2552" w:type="dxa"/>
          </w:tcPr>
          <w:p w:rsidR="00B446B4" w:rsidRPr="00CB2A6C" w:rsidRDefault="00B446B4" w:rsidP="00CB2A6C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B2A6C" w:rsidRPr="00CB2A6C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552" w:type="dxa"/>
          </w:tcPr>
          <w:p w:rsidR="00B446B4" w:rsidRPr="00CB2A6C" w:rsidRDefault="00B446B4" w:rsidP="00CB2A6C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B2A6C" w:rsidRPr="00CB2A6C">
              <w:rPr>
                <w:rFonts w:ascii="Times New Roman" w:hAnsi="Times New Roman" w:cs="Times New Roman"/>
                <w:bCs/>
                <w:color w:val="000000"/>
              </w:rPr>
              <w:t>750</w:t>
            </w:r>
          </w:p>
        </w:tc>
      </w:tr>
      <w:tr w:rsidR="00B446B4" w:rsidRPr="00902D6B" w:rsidTr="0038706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</w:tcPr>
          <w:p w:rsidR="00B446B4" w:rsidRPr="00CB2A6C" w:rsidRDefault="00B446B4" w:rsidP="00CB2A6C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CB2A6C" w:rsidRPr="00CB2A6C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</w:tcPr>
          <w:p w:rsidR="00B446B4" w:rsidRPr="00CB2A6C" w:rsidRDefault="00B446B4" w:rsidP="00B446B4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</w:tr>
      <w:tr w:rsidR="00B446B4" w:rsidRPr="00902D6B" w:rsidTr="0038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383</w:t>
            </w: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2A6C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</w:tr>
      <w:tr w:rsidR="00B446B4" w:rsidRPr="00902D6B" w:rsidTr="0038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266</w:t>
            </w: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57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446B4" w:rsidRPr="00902D6B" w:rsidTr="0038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2552" w:type="dxa"/>
          </w:tcPr>
          <w:p w:rsidR="00B446B4" w:rsidRPr="00CB2A6C" w:rsidRDefault="001A2668" w:rsidP="00B446B4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484</w:t>
            </w:r>
          </w:p>
        </w:tc>
      </w:tr>
      <w:tr w:rsidR="00B446B4" w:rsidRPr="00902D6B" w:rsidTr="0038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2A6C">
              <w:rPr>
                <w:rFonts w:ascii="Times New Roman" w:hAnsi="Times New Roman" w:cs="Times New Roman"/>
                <w:bCs/>
                <w:color w:val="000000"/>
              </w:rPr>
              <w:t>92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2A6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</w:tr>
      <w:tr w:rsidR="00B446B4" w:rsidRPr="00902D6B" w:rsidTr="0038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B446B4" w:rsidRPr="00902D6B" w:rsidTr="0038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47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B446B4" w:rsidRPr="00902D6B" w:rsidTr="0038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52" w:type="dxa"/>
          </w:tcPr>
          <w:p w:rsidR="00B446B4" w:rsidRPr="00CB2A6C" w:rsidRDefault="00B446B4" w:rsidP="00B446B4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456</w:t>
            </w:r>
          </w:p>
        </w:tc>
      </w:tr>
      <w:tr w:rsidR="00B446B4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2552" w:type="dxa"/>
          </w:tcPr>
          <w:p w:rsidR="00B446B4" w:rsidRPr="00CB2A6C" w:rsidRDefault="00B446B4" w:rsidP="001A2668">
            <w:pPr>
              <w:ind w:righ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89</w:t>
            </w:r>
            <w:r w:rsidR="001A266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B446B4" w:rsidRPr="00902D6B" w:rsidTr="0038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2A5DA8"/>
          </w:tcPr>
          <w:p w:rsidR="00B446B4" w:rsidRPr="0038706D" w:rsidRDefault="00B446B4" w:rsidP="00B446B4">
            <w:pPr>
              <w:pStyle w:val="a6"/>
              <w:widowControl w:val="0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домашних хозяйств как работодателей</w:t>
            </w:r>
          </w:p>
        </w:tc>
        <w:tc>
          <w:tcPr>
            <w:tcW w:w="2552" w:type="dxa"/>
          </w:tcPr>
          <w:p w:rsidR="00B446B4" w:rsidRPr="00CB2A6C" w:rsidRDefault="00B446B4" w:rsidP="00B446B4">
            <w:pPr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B2A6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206863" w:rsidRPr="00902D6B" w:rsidRDefault="00206863" w:rsidP="00206863">
      <w:pPr>
        <w:pStyle w:val="a8"/>
        <w:spacing w:before="0"/>
        <w:ind w:firstLine="567"/>
        <w:rPr>
          <w:sz w:val="24"/>
          <w:szCs w:val="24"/>
          <w:highlight w:val="yellow"/>
        </w:rPr>
      </w:pPr>
    </w:p>
    <w:p w:rsidR="001A2668" w:rsidRPr="001A2668" w:rsidRDefault="00B446B4" w:rsidP="001A2668">
      <w:pPr>
        <w:pStyle w:val="a8"/>
        <w:spacing w:before="0"/>
        <w:jc w:val="center"/>
        <w:rPr>
          <w:b/>
          <w:sz w:val="24"/>
        </w:rPr>
      </w:pPr>
      <w:r w:rsidRPr="001A2668">
        <w:rPr>
          <w:b/>
          <w:sz w:val="24"/>
        </w:rPr>
        <w:t xml:space="preserve">Количество индивидуальных предпринимателей, учтенных в составе Статистического регистра, по видам экономической деятельности </w:t>
      </w:r>
    </w:p>
    <w:p w:rsidR="001A2668" w:rsidRPr="001A2668" w:rsidRDefault="001A2668" w:rsidP="001A2668">
      <w:pPr>
        <w:pStyle w:val="a8"/>
        <w:spacing w:before="0"/>
        <w:jc w:val="center"/>
        <w:rPr>
          <w:b/>
          <w:sz w:val="24"/>
        </w:rPr>
      </w:pPr>
      <w:r w:rsidRPr="001A2668">
        <w:rPr>
          <w:b/>
          <w:sz w:val="24"/>
        </w:rPr>
        <w:t xml:space="preserve">на 1 октября 2018 года </w:t>
      </w:r>
      <w:r w:rsidR="00B446B4" w:rsidRPr="001A2668">
        <w:rPr>
          <w:b/>
          <w:sz w:val="24"/>
        </w:rPr>
        <w:t>составило 1</w:t>
      </w:r>
      <w:r w:rsidRPr="001A2668">
        <w:rPr>
          <w:b/>
          <w:sz w:val="24"/>
        </w:rPr>
        <w:t>6 822</w:t>
      </w:r>
      <w:r w:rsidR="00B446B4" w:rsidRPr="001A2668">
        <w:rPr>
          <w:b/>
          <w:sz w:val="24"/>
        </w:rPr>
        <w:t>.</w:t>
      </w:r>
      <w:r w:rsidR="00A40C0F" w:rsidRPr="001A2668">
        <w:rPr>
          <w:b/>
          <w:sz w:val="24"/>
        </w:rPr>
        <w:t xml:space="preserve"> </w:t>
      </w:r>
    </w:p>
    <w:tbl>
      <w:tblPr>
        <w:tblStyle w:val="3-1"/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418"/>
      </w:tblGrid>
      <w:tr w:rsidR="00A40C0F" w:rsidRPr="00902D6B" w:rsidTr="00387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Merge w:val="restart"/>
            <w:shd w:val="clear" w:color="auto" w:fill="2A5DA8"/>
          </w:tcPr>
          <w:p w:rsidR="00A40C0F" w:rsidRPr="00902D6B" w:rsidRDefault="00A40C0F" w:rsidP="00A40C0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2A5DA8"/>
          </w:tcPr>
          <w:p w:rsidR="00A40C0F" w:rsidRPr="00AD4E4D" w:rsidRDefault="00A40C0F" w:rsidP="00A40C0F">
            <w:pPr>
              <w:tabs>
                <w:tab w:val="left" w:pos="32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4E4D">
              <w:rPr>
                <w:rFonts w:ascii="Times New Roman" w:hAnsi="Times New Roman" w:cs="Times New Roman"/>
              </w:rPr>
              <w:t>Число индивидуальных предпринимателей</w:t>
            </w:r>
          </w:p>
        </w:tc>
      </w:tr>
      <w:tr w:rsidR="00A40C0F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Merge/>
          </w:tcPr>
          <w:p w:rsidR="00A40C0F" w:rsidRPr="00902D6B" w:rsidRDefault="00A40C0F" w:rsidP="00A40C0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A40C0F" w:rsidRPr="00AD4E4D" w:rsidRDefault="00A40C0F" w:rsidP="00A40C0F">
            <w:pPr>
              <w:tabs>
                <w:tab w:val="left" w:pos="3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4E4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tabs>
                <w:tab w:val="left" w:pos="3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D4E4D">
              <w:rPr>
                <w:rFonts w:ascii="Times New Roman" w:hAnsi="Times New Roman" w:cs="Times New Roman"/>
              </w:rPr>
              <w:t>в</w:t>
            </w:r>
            <w:proofErr w:type="gramEnd"/>
            <w:r w:rsidRPr="00AD4E4D">
              <w:rPr>
                <w:rFonts w:ascii="Times New Roman" w:hAnsi="Times New Roman" w:cs="Times New Roman"/>
              </w:rPr>
              <w:t xml:space="preserve"> % к итогу</w:t>
            </w:r>
          </w:p>
        </w:tc>
      </w:tr>
      <w:tr w:rsidR="001A2668" w:rsidRPr="00902D6B" w:rsidTr="003870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1A2668" w:rsidRPr="0038706D" w:rsidRDefault="001A2668" w:rsidP="00A40C0F">
            <w:pPr>
              <w:tabs>
                <w:tab w:val="left" w:pos="3240"/>
              </w:tabs>
              <w:contextualSpacing/>
              <w:rPr>
                <w:rFonts w:ascii="Times New Roman" w:hAnsi="Times New Roman" w:cs="Times New Roman"/>
                <w:b w:val="0"/>
                <w:i/>
                <w:iCs/>
              </w:rPr>
            </w:pPr>
            <w:r w:rsidRPr="003870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1A2668" w:rsidRPr="00AD4E4D" w:rsidRDefault="001A2668" w:rsidP="001A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="00E379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D4E4D">
              <w:rPr>
                <w:rFonts w:ascii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1418" w:type="dxa"/>
          </w:tcPr>
          <w:p w:rsidR="001A2668" w:rsidRPr="00AD4E4D" w:rsidRDefault="001A2668" w:rsidP="001A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40C0F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8"/>
              <w:spacing w:before="0"/>
              <w:contextualSpacing/>
              <w:jc w:val="left"/>
              <w:rPr>
                <w:i/>
                <w:iCs/>
                <w:sz w:val="22"/>
                <w:szCs w:val="22"/>
              </w:rPr>
            </w:pPr>
            <w:r w:rsidRPr="0038706D">
              <w:rPr>
                <w:i/>
                <w:iCs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417" w:type="dxa"/>
          </w:tcPr>
          <w:p w:rsidR="00A40C0F" w:rsidRPr="00AD4E4D" w:rsidRDefault="00A40C0F" w:rsidP="00A40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40C0F" w:rsidRPr="00AD4E4D" w:rsidRDefault="00A40C0F" w:rsidP="00A40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0C0F" w:rsidRPr="00902D6B" w:rsidTr="0038706D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</w:tcPr>
          <w:p w:rsidR="00A40C0F" w:rsidRPr="00AD4E4D" w:rsidRDefault="001A2668" w:rsidP="001A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0,6</w:t>
            </w:r>
          </w:p>
        </w:tc>
      </w:tr>
      <w:tr w:rsidR="00A40C0F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A40C0F" w:rsidRPr="00AD4E4D" w:rsidRDefault="00A40C0F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40C0F" w:rsidRPr="00902D6B" w:rsidTr="0038706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A40C0F" w:rsidRPr="00AD4E4D" w:rsidRDefault="001A2668" w:rsidP="00A40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908</w:t>
            </w:r>
          </w:p>
        </w:tc>
        <w:tc>
          <w:tcPr>
            <w:tcW w:w="1418" w:type="dxa"/>
          </w:tcPr>
          <w:p w:rsidR="00A40C0F" w:rsidRPr="00AD4E4D" w:rsidRDefault="00A40C0F" w:rsidP="001A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5,</w:t>
            </w:r>
            <w:r w:rsidR="001A2668" w:rsidRPr="00AD4E4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A40C0F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</w:tcPr>
          <w:p w:rsidR="00A40C0F" w:rsidRPr="00AD4E4D" w:rsidRDefault="001A2668" w:rsidP="001A2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40C0F" w:rsidRPr="00902D6B" w:rsidTr="0038706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</w:tcPr>
          <w:p w:rsidR="00A40C0F" w:rsidRPr="00AD4E4D" w:rsidRDefault="00A40C0F" w:rsidP="001A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A2668" w:rsidRPr="00AD4E4D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0,2</w:t>
            </w:r>
          </w:p>
        </w:tc>
      </w:tr>
      <w:tr w:rsidR="00A40C0F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17" w:type="dxa"/>
          </w:tcPr>
          <w:p w:rsidR="00A40C0F" w:rsidRPr="00AD4E4D" w:rsidRDefault="001A2668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D4E4D">
              <w:rPr>
                <w:rFonts w:ascii="Times New Roman" w:hAnsi="Times New Roman" w:cs="Times New Roman"/>
                <w:bCs/>
                <w:color w:val="000000"/>
              </w:rPr>
              <w:t>032</w:t>
            </w:r>
          </w:p>
        </w:tc>
        <w:tc>
          <w:tcPr>
            <w:tcW w:w="1418" w:type="dxa"/>
          </w:tcPr>
          <w:p w:rsidR="00A40C0F" w:rsidRPr="00AD4E4D" w:rsidRDefault="001A2668" w:rsidP="001A26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A40C0F" w:rsidRPr="00AD4E4D">
              <w:rPr>
                <w:rFonts w:ascii="Times New Roman" w:hAnsi="Times New Roman" w:cs="Times New Roman"/>
                <w:bCs/>
                <w:color w:val="000000"/>
              </w:rPr>
              <w:t>,1</w:t>
            </w:r>
          </w:p>
        </w:tc>
      </w:tr>
      <w:tr w:rsidR="00A40C0F" w:rsidRPr="00902D6B" w:rsidTr="0038706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</w:tcPr>
          <w:p w:rsidR="00A40C0F" w:rsidRPr="00AD4E4D" w:rsidRDefault="00A40C0F" w:rsidP="001A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A2668" w:rsidRPr="00AD4E4D">
              <w:rPr>
                <w:rFonts w:ascii="Times New Roman" w:hAnsi="Times New Roman" w:cs="Times New Roman"/>
                <w:bCs/>
                <w:color w:val="000000"/>
              </w:rPr>
              <w:t>510</w:t>
            </w:r>
          </w:p>
        </w:tc>
        <w:tc>
          <w:tcPr>
            <w:tcW w:w="1418" w:type="dxa"/>
          </w:tcPr>
          <w:p w:rsidR="00A40C0F" w:rsidRPr="00AD4E4D" w:rsidRDefault="00A40C0F" w:rsidP="001A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1A2668" w:rsidRPr="00AD4E4D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AD4E4D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1A2668" w:rsidRPr="00AD4E4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40C0F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417" w:type="dxa"/>
          </w:tcPr>
          <w:p w:rsidR="00A40C0F" w:rsidRPr="00AD4E4D" w:rsidRDefault="00AD4E4D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D4E4D">
              <w:rPr>
                <w:rFonts w:ascii="Times New Roman" w:hAnsi="Times New Roman" w:cs="Times New Roman"/>
                <w:bCs/>
                <w:color w:val="000000"/>
              </w:rPr>
              <w:t>122</w:t>
            </w:r>
          </w:p>
        </w:tc>
        <w:tc>
          <w:tcPr>
            <w:tcW w:w="1418" w:type="dxa"/>
          </w:tcPr>
          <w:p w:rsidR="00A40C0F" w:rsidRPr="00AD4E4D" w:rsidRDefault="00A40C0F" w:rsidP="00AD4E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D4E4D" w:rsidRPr="00AD4E4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AD4E4D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AD4E4D" w:rsidRPr="00AD4E4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40C0F" w:rsidRPr="00902D6B" w:rsidTr="0038706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</w:tcPr>
          <w:p w:rsidR="00A40C0F" w:rsidRPr="00AD4E4D" w:rsidRDefault="00A40C0F" w:rsidP="00AD4E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AD4E4D" w:rsidRPr="00AD4E4D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1418" w:type="dxa"/>
          </w:tcPr>
          <w:p w:rsidR="00A40C0F" w:rsidRPr="00AD4E4D" w:rsidRDefault="00A40C0F" w:rsidP="00AD4E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2,</w:t>
            </w:r>
            <w:r w:rsidR="00AD4E4D" w:rsidRPr="00AD4E4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40C0F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417" w:type="dxa"/>
          </w:tcPr>
          <w:p w:rsidR="00A40C0F" w:rsidRPr="00AD4E4D" w:rsidRDefault="00AD4E4D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557</w:t>
            </w:r>
          </w:p>
        </w:tc>
        <w:tc>
          <w:tcPr>
            <w:tcW w:w="1418" w:type="dxa"/>
          </w:tcPr>
          <w:p w:rsidR="00A40C0F" w:rsidRPr="00AD4E4D" w:rsidRDefault="00AD4E4D" w:rsidP="00AD4E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A40C0F" w:rsidRPr="00AD4E4D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AD4E4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A40C0F" w:rsidRPr="00902D6B" w:rsidTr="0038706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417" w:type="dxa"/>
          </w:tcPr>
          <w:p w:rsidR="00A40C0F" w:rsidRPr="00AD4E4D" w:rsidRDefault="00A40C0F" w:rsidP="00A40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135</w:t>
            </w:r>
          </w:p>
        </w:tc>
        <w:tc>
          <w:tcPr>
            <w:tcW w:w="1418" w:type="dxa"/>
          </w:tcPr>
          <w:p w:rsidR="00A40C0F" w:rsidRPr="00AD4E4D" w:rsidRDefault="00A40C0F" w:rsidP="00AD4E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0,</w:t>
            </w:r>
            <w:r w:rsidR="00AD4E4D" w:rsidRPr="00AD4E4D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A40C0F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</w:tcPr>
          <w:p w:rsidR="00A40C0F" w:rsidRPr="00AD4E4D" w:rsidRDefault="00AD4E4D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</w:tr>
      <w:tr w:rsidR="00A40C0F" w:rsidRPr="00902D6B" w:rsidTr="0038706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</w:tcPr>
          <w:p w:rsidR="00A40C0F" w:rsidRPr="00AD4E4D" w:rsidRDefault="00A40C0F" w:rsidP="00AD4E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D4E4D" w:rsidRPr="00AD4E4D">
              <w:rPr>
                <w:rFonts w:ascii="Times New Roman" w:hAnsi="Times New Roman" w:cs="Times New Roman"/>
                <w:bCs/>
                <w:color w:val="000000"/>
              </w:rPr>
              <w:t>115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6,6</w:t>
            </w:r>
          </w:p>
        </w:tc>
      </w:tr>
      <w:tr w:rsidR="00A40C0F" w:rsidRPr="00902D6B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</w:tcPr>
          <w:p w:rsidR="00A40C0F" w:rsidRPr="00AD4E4D" w:rsidRDefault="00A40C0F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AD4E4D" w:rsidRPr="00AD4E4D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3,2</w:t>
            </w:r>
          </w:p>
        </w:tc>
      </w:tr>
      <w:tr w:rsidR="00A40C0F" w:rsidRPr="00AD4E4D" w:rsidTr="0038706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A40C0F" w:rsidRPr="00AD4E4D" w:rsidRDefault="00AD4E4D" w:rsidP="00A40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157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0,9</w:t>
            </w:r>
          </w:p>
        </w:tc>
      </w:tr>
      <w:tr w:rsidR="00A40C0F" w:rsidRPr="00AD4E4D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</w:tcPr>
          <w:p w:rsidR="00A40C0F" w:rsidRPr="00AD4E4D" w:rsidRDefault="00A40C0F" w:rsidP="00AD4E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AD4E4D" w:rsidRPr="00AD4E4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0,5</w:t>
            </w:r>
          </w:p>
        </w:tc>
      </w:tr>
      <w:tr w:rsidR="00A40C0F" w:rsidRPr="00AD4E4D" w:rsidTr="0038706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</w:tcPr>
          <w:p w:rsidR="00A40C0F" w:rsidRPr="00AD4E4D" w:rsidRDefault="00A40C0F" w:rsidP="00AD4E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AD4E4D" w:rsidRPr="00AD4E4D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1418" w:type="dxa"/>
          </w:tcPr>
          <w:p w:rsidR="00A40C0F" w:rsidRPr="00AD4E4D" w:rsidRDefault="00A40C0F" w:rsidP="00A40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1,5</w:t>
            </w:r>
          </w:p>
        </w:tc>
      </w:tr>
      <w:tr w:rsidR="00A40C0F" w:rsidRPr="00AD4E4D" w:rsidTr="0038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2A5DA8"/>
          </w:tcPr>
          <w:p w:rsidR="00A40C0F" w:rsidRPr="0038706D" w:rsidRDefault="00A40C0F" w:rsidP="00A40C0F">
            <w:pPr>
              <w:pStyle w:val="a6"/>
              <w:widowControl w:val="0"/>
              <w:numPr>
                <w:ilvl w:val="0"/>
                <w:numId w:val="30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38706D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417" w:type="dxa"/>
          </w:tcPr>
          <w:p w:rsidR="00A40C0F" w:rsidRPr="00AD4E4D" w:rsidRDefault="00A40C0F" w:rsidP="00AD4E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379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D4E4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D4E4D" w:rsidRPr="00AD4E4D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1418" w:type="dxa"/>
          </w:tcPr>
          <w:p w:rsidR="00A40C0F" w:rsidRPr="00AD4E4D" w:rsidRDefault="00AD4E4D" w:rsidP="00A40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D4E4D">
              <w:rPr>
                <w:rFonts w:ascii="Times New Roman" w:hAnsi="Times New Roman" w:cs="Times New Roman"/>
                <w:bCs/>
                <w:color w:val="000000"/>
              </w:rPr>
              <w:t>6,8</w:t>
            </w:r>
          </w:p>
        </w:tc>
      </w:tr>
    </w:tbl>
    <w:p w:rsidR="005F6DCF" w:rsidRPr="00902D6B" w:rsidRDefault="009A2C1D" w:rsidP="005F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7C25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E3B135" wp14:editId="03121626">
            <wp:extent cx="5676900" cy="48387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DCF" w:rsidRPr="00811ED3" w:rsidRDefault="005F6DCF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 w:rsidRPr="00811ED3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t>ПРОИЗВОДСТВО</w:t>
      </w:r>
    </w:p>
    <w:p w:rsidR="00811ED3" w:rsidRPr="00260878" w:rsidRDefault="00811ED3" w:rsidP="00811ED3">
      <w:pPr>
        <w:pStyle w:val="a8"/>
        <w:spacing w:before="0" w:line="276" w:lineRule="auto"/>
        <w:ind w:firstLine="709"/>
        <w:rPr>
          <w:sz w:val="24"/>
          <w:szCs w:val="24"/>
        </w:rPr>
      </w:pPr>
      <w:r w:rsidRPr="00260878">
        <w:rPr>
          <w:sz w:val="24"/>
          <w:szCs w:val="24"/>
        </w:rPr>
        <w:t xml:space="preserve">В январе-сентябре 2018 года оборот организаций г. Тольятти увеличился на 16,1 процента по сравнению с январем-сентябрем 2017 года и составил 520,1 млрд. рублей или 28,5 процента от оборота по Самарской области. </w:t>
      </w:r>
    </w:p>
    <w:p w:rsidR="00927122" w:rsidRPr="00902D6B" w:rsidRDefault="00927122" w:rsidP="0092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ru-RU"/>
        </w:rPr>
      </w:pPr>
    </w:p>
    <w:p w:rsidR="00927122" w:rsidRPr="00902D6B" w:rsidRDefault="00927122" w:rsidP="0092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ru-RU"/>
        </w:rPr>
      </w:pPr>
      <w:r w:rsidRPr="007665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F72A7B" wp14:editId="1E259B29">
            <wp:extent cx="5189220" cy="22402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1ED3" w:rsidRPr="00260878" w:rsidRDefault="00811ED3" w:rsidP="00811ED3">
      <w:pPr>
        <w:pStyle w:val="a8"/>
        <w:spacing w:before="60" w:line="276" w:lineRule="auto"/>
        <w:ind w:firstLine="709"/>
        <w:rPr>
          <w:sz w:val="24"/>
          <w:szCs w:val="24"/>
        </w:rPr>
      </w:pPr>
      <w:r w:rsidRPr="00260878">
        <w:rPr>
          <w:sz w:val="24"/>
          <w:szCs w:val="24"/>
        </w:rPr>
        <w:t xml:space="preserve">За январь-сентябрь 2018 года объем отгруженной продукции в г. Тольятти составил 411,9 млрд. рублей (30,7 процента от объема по Самарской области), что на 19,0 процента больше, чем в январе-сентябре 2017 года. </w:t>
      </w:r>
    </w:p>
    <w:p w:rsidR="00811ED3" w:rsidRPr="00260878" w:rsidRDefault="00811ED3" w:rsidP="00811ED3">
      <w:pPr>
        <w:pStyle w:val="a8"/>
        <w:spacing w:before="60" w:line="276" w:lineRule="auto"/>
        <w:ind w:firstLine="709"/>
        <w:rPr>
          <w:sz w:val="24"/>
          <w:szCs w:val="24"/>
        </w:rPr>
      </w:pPr>
      <w:r w:rsidRPr="00260878">
        <w:rPr>
          <w:sz w:val="24"/>
          <w:szCs w:val="24"/>
        </w:rPr>
        <w:t>Доля объема отгруженной продукции по предприятиям Автозаводского района составила 65,0 процента, на предприятия Комсомольского и Центрального районов приходится 12,9 и 22,0 процента соответственно. Наибольшая доля (86,3 процента) в общем объеме отгруженных товаров за январь-сентябрь 2018 года приходится на предприятия с видом экономической деятельности «обрабатывающие производства» - 26,5 процента от общего объема по Самарской области</w:t>
      </w:r>
      <w:r w:rsidR="00945B28" w:rsidRPr="00945B28">
        <w:rPr>
          <w:sz w:val="24"/>
          <w:szCs w:val="24"/>
        </w:rPr>
        <w:t xml:space="preserve"> [4]</w:t>
      </w:r>
      <w:r w:rsidRPr="00260878">
        <w:rPr>
          <w:sz w:val="24"/>
          <w:szCs w:val="24"/>
        </w:rPr>
        <w:t xml:space="preserve">. </w:t>
      </w:r>
    </w:p>
    <w:p w:rsidR="00E379CA" w:rsidRDefault="00E379CA" w:rsidP="0092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27122" w:rsidRPr="00705C49" w:rsidRDefault="00927122" w:rsidP="0092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05C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Объем отгруженных товаров собственного производства, </w:t>
      </w:r>
    </w:p>
    <w:p w:rsidR="00927122" w:rsidRPr="00705C49" w:rsidRDefault="00927122" w:rsidP="0092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</w:pPr>
      <w:r w:rsidRPr="00705C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выполненных работ и услуг (без НДС и акцизов)</w:t>
      </w:r>
    </w:p>
    <w:p w:rsidR="00927122" w:rsidRPr="00705C49" w:rsidRDefault="00927122" w:rsidP="009271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05C4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млн. рублей</w:t>
      </w:r>
    </w:p>
    <w:tbl>
      <w:tblPr>
        <w:tblStyle w:val="3-1"/>
        <w:tblW w:w="4995" w:type="pct"/>
        <w:tblLook w:val="04A0" w:firstRow="1" w:lastRow="0" w:firstColumn="1" w:lastColumn="0" w:noHBand="0" w:noVBand="1"/>
      </w:tblPr>
      <w:tblGrid>
        <w:gridCol w:w="5071"/>
        <w:gridCol w:w="2172"/>
        <w:gridCol w:w="2318"/>
      </w:tblGrid>
      <w:tr w:rsidR="00927122" w:rsidRPr="00902D6B" w:rsidTr="00644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vMerge w:val="restart"/>
            <w:shd w:val="clear" w:color="auto" w:fill="2A5DA8"/>
          </w:tcPr>
          <w:p w:rsidR="00927122" w:rsidRPr="006442B4" w:rsidRDefault="00927122" w:rsidP="0092712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</w:pPr>
          </w:p>
        </w:tc>
        <w:tc>
          <w:tcPr>
            <w:tcW w:w="1136" w:type="pct"/>
            <w:vMerge w:val="restart"/>
            <w:shd w:val="clear" w:color="auto" w:fill="2A5DA8"/>
          </w:tcPr>
          <w:p w:rsidR="00927122" w:rsidRPr="006442B4" w:rsidRDefault="00705C49" w:rsidP="00705C49">
            <w:pPr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42B4">
              <w:rPr>
                <w:rFonts w:ascii="Times New Roman" w:hAnsi="Times New Roman" w:cs="Times New Roman"/>
              </w:rPr>
              <w:t>Январь-сентябрь 2018 г.</w:t>
            </w:r>
          </w:p>
        </w:tc>
        <w:tc>
          <w:tcPr>
            <w:tcW w:w="1212" w:type="pct"/>
            <w:vMerge w:val="restart"/>
            <w:shd w:val="clear" w:color="auto" w:fill="2A5DA8"/>
          </w:tcPr>
          <w:p w:rsidR="00927122" w:rsidRPr="006442B4" w:rsidRDefault="00705C49" w:rsidP="00705C49">
            <w:pPr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42B4">
              <w:rPr>
                <w:rFonts w:ascii="Times New Roman" w:hAnsi="Times New Roman" w:cs="Times New Roman"/>
              </w:rPr>
              <w:t xml:space="preserve">Январь-сентябрь 2018 г. </w:t>
            </w:r>
            <w:proofErr w:type="gramStart"/>
            <w:r w:rsidRPr="006442B4">
              <w:rPr>
                <w:rFonts w:ascii="Times New Roman" w:hAnsi="Times New Roman" w:cs="Times New Roman"/>
              </w:rPr>
              <w:t>в</w:t>
            </w:r>
            <w:proofErr w:type="gramEnd"/>
            <w:r w:rsidRPr="006442B4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6442B4">
              <w:rPr>
                <w:rFonts w:ascii="Times New Roman" w:hAnsi="Times New Roman" w:cs="Times New Roman"/>
              </w:rPr>
              <w:t>к</w:t>
            </w:r>
            <w:proofErr w:type="gramEnd"/>
            <w:r w:rsidRPr="006442B4">
              <w:rPr>
                <w:rFonts w:ascii="Times New Roman" w:hAnsi="Times New Roman" w:cs="Times New Roman"/>
              </w:rPr>
              <w:t xml:space="preserve"> январю-сентябрю 2017 г.</w:t>
            </w:r>
          </w:p>
        </w:tc>
      </w:tr>
      <w:tr w:rsidR="00927122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vMerge/>
            <w:shd w:val="clear" w:color="auto" w:fill="2A5DA8"/>
          </w:tcPr>
          <w:p w:rsidR="00927122" w:rsidRPr="00902D6B" w:rsidRDefault="00927122" w:rsidP="0092712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</w:p>
        </w:tc>
        <w:tc>
          <w:tcPr>
            <w:tcW w:w="1136" w:type="pct"/>
            <w:vMerge/>
            <w:shd w:val="clear" w:color="auto" w:fill="2A5DA8"/>
          </w:tcPr>
          <w:p w:rsidR="00927122" w:rsidRPr="00902D6B" w:rsidRDefault="00927122" w:rsidP="00927122">
            <w:pPr>
              <w:widowControl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12" w:type="pct"/>
            <w:vMerge/>
            <w:shd w:val="clear" w:color="auto" w:fill="2A5DA8"/>
          </w:tcPr>
          <w:p w:rsidR="00927122" w:rsidRPr="00902D6B" w:rsidRDefault="00927122" w:rsidP="00927122">
            <w:pPr>
              <w:widowControl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05C49" w:rsidRPr="00902D6B" w:rsidTr="006442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05C49">
              <w:rPr>
                <w:rFonts w:ascii="Times New Roman" w:hAnsi="Times New Roman" w:cs="Times New Roman"/>
                <w:b/>
              </w:rPr>
              <w:t>411931,8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05C49">
              <w:rPr>
                <w:rFonts w:ascii="Times New Roman" w:hAnsi="Times New Roman" w:cs="Times New Roman"/>
                <w:b/>
              </w:rPr>
              <w:t>119,0</w:t>
            </w:r>
          </w:p>
        </w:tc>
      </w:tr>
      <w:tr w:rsidR="00927122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927122" w:rsidRPr="00705C49" w:rsidRDefault="00927122" w:rsidP="00705C49">
            <w:pPr>
              <w:widowControl w:val="0"/>
              <w:tabs>
                <w:tab w:val="left" w:pos="693"/>
                <w:tab w:val="left" w:pos="1149"/>
              </w:tabs>
              <w:ind w:left="269" w:right="26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 них с основным видом деятельности:</w:t>
            </w:r>
          </w:p>
        </w:tc>
        <w:tc>
          <w:tcPr>
            <w:tcW w:w="2348" w:type="pct"/>
            <w:gridSpan w:val="2"/>
          </w:tcPr>
          <w:p w:rsidR="00927122" w:rsidRPr="00705C49" w:rsidRDefault="00927122" w:rsidP="00705C49">
            <w:pPr>
              <w:widowControl w:val="0"/>
              <w:tabs>
                <w:tab w:val="left" w:pos="693"/>
                <w:tab w:val="left" w:pos="1149"/>
              </w:tabs>
              <w:ind w:left="269" w:right="2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705C49" w:rsidRPr="00902D6B" w:rsidTr="006442B4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355628,9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121,6</w:t>
            </w:r>
          </w:p>
        </w:tc>
      </w:tr>
      <w:tr w:rsidR="00705C49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17516,9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105,3</w:t>
            </w:r>
          </w:p>
        </w:tc>
      </w:tr>
      <w:tr w:rsidR="00705C49" w:rsidRPr="00902D6B" w:rsidTr="006442B4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7354,4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121,0</w:t>
            </w:r>
          </w:p>
        </w:tc>
      </w:tr>
      <w:tr w:rsidR="00705C49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1606,0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71,7</w:t>
            </w:r>
          </w:p>
        </w:tc>
      </w:tr>
      <w:tr w:rsidR="00705C49" w:rsidRPr="00902D6B" w:rsidTr="006442B4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6684,8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110,2</w:t>
            </w:r>
          </w:p>
        </w:tc>
      </w:tr>
      <w:tr w:rsidR="00705C49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4318,4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98,2</w:t>
            </w:r>
          </w:p>
        </w:tc>
      </w:tr>
      <w:tr w:rsidR="00705C49" w:rsidRPr="00902D6B" w:rsidTr="00644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1794,8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111,8</w:t>
            </w:r>
          </w:p>
        </w:tc>
      </w:tr>
      <w:tr w:rsidR="00705C49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2028,1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114,0</w:t>
            </w:r>
          </w:p>
        </w:tc>
      </w:tr>
      <w:tr w:rsidR="00705C49" w:rsidRPr="00902D6B" w:rsidTr="006442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4611,8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82,9</w:t>
            </w:r>
          </w:p>
        </w:tc>
      </w:tr>
      <w:tr w:rsidR="00705C49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1299,1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104,0</w:t>
            </w:r>
          </w:p>
        </w:tc>
      </w:tr>
      <w:tr w:rsidR="00705C49" w:rsidRPr="00902D6B" w:rsidTr="006442B4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574,9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181,9</w:t>
            </w:r>
          </w:p>
        </w:tc>
      </w:tr>
      <w:tr w:rsidR="00705C49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управление и обеспечение </w:t>
            </w: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военной безопасности; социальное обеспечение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lastRenderedPageBreak/>
              <w:t>815,2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102,0</w:t>
            </w:r>
          </w:p>
        </w:tc>
      </w:tr>
      <w:tr w:rsidR="00705C49" w:rsidRPr="00902D6B" w:rsidTr="006442B4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1348,7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103,5</w:t>
            </w:r>
          </w:p>
        </w:tc>
      </w:tr>
      <w:tr w:rsidR="00705C49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6053,0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117,3</w:t>
            </w:r>
          </w:p>
        </w:tc>
      </w:tr>
      <w:tr w:rsidR="00705C49" w:rsidRPr="00902D6B" w:rsidTr="006442B4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культуры</w:t>
            </w:r>
            <w:proofErr w:type="gramStart"/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 xml:space="preserve"> спорта, организации досуга и развлечений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104,4</w:t>
            </w:r>
          </w:p>
        </w:tc>
      </w:tr>
      <w:tr w:rsidR="00705C49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pct"/>
            <w:shd w:val="clear" w:color="auto" w:fill="2A5DA8"/>
          </w:tcPr>
          <w:p w:rsidR="00705C49" w:rsidRPr="00705C49" w:rsidRDefault="00705C49" w:rsidP="00705C49">
            <w:pPr>
              <w:widowControl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49">
              <w:rPr>
                <w:rFonts w:ascii="Times New Roman" w:eastAsia="Times New Roman" w:hAnsi="Times New Roman" w:cs="Times New Roman"/>
                <w:lang w:eastAsia="ru-RU"/>
              </w:rPr>
              <w:t>Предоставление прочих видов услуг</w:t>
            </w:r>
          </w:p>
        </w:tc>
        <w:tc>
          <w:tcPr>
            <w:tcW w:w="1136" w:type="pct"/>
          </w:tcPr>
          <w:p w:rsidR="00705C49" w:rsidRPr="00705C49" w:rsidRDefault="00705C49" w:rsidP="00705C49">
            <w:pPr>
              <w:ind w:right="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212" w:type="pct"/>
          </w:tcPr>
          <w:p w:rsidR="00705C49" w:rsidRPr="00705C49" w:rsidRDefault="00705C49" w:rsidP="00705C49">
            <w:pPr>
              <w:ind w:right="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C49">
              <w:rPr>
                <w:rFonts w:ascii="Times New Roman" w:hAnsi="Times New Roman" w:cs="Times New Roman"/>
              </w:rPr>
              <w:t>94,7</w:t>
            </w:r>
          </w:p>
        </w:tc>
      </w:tr>
    </w:tbl>
    <w:p w:rsidR="00927122" w:rsidRPr="00902D6B" w:rsidRDefault="00927122" w:rsidP="00471FE4">
      <w:pPr>
        <w:pStyle w:val="a8"/>
        <w:spacing w:before="0"/>
        <w:ind w:firstLine="544"/>
        <w:rPr>
          <w:sz w:val="24"/>
          <w:szCs w:val="24"/>
          <w:highlight w:val="yellow"/>
        </w:rPr>
      </w:pPr>
    </w:p>
    <w:p w:rsidR="00927122" w:rsidRPr="00757B7D" w:rsidRDefault="00410B64" w:rsidP="0041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5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Промышленное производство</w:t>
      </w:r>
    </w:p>
    <w:p w:rsidR="00757B7D" w:rsidRPr="00260878" w:rsidRDefault="00757B7D" w:rsidP="00757B7D">
      <w:pPr>
        <w:pStyle w:val="a8"/>
        <w:spacing w:before="0" w:line="276" w:lineRule="auto"/>
        <w:ind w:firstLine="709"/>
        <w:rPr>
          <w:sz w:val="24"/>
          <w:szCs w:val="24"/>
        </w:rPr>
      </w:pPr>
      <w:r w:rsidRPr="00260878">
        <w:rPr>
          <w:sz w:val="24"/>
          <w:szCs w:val="24"/>
        </w:rPr>
        <w:t>В сентябре 2018 года индекс промышленного производства г. Тольятти составил 95,4 процента к соответствующему месяцу 2017 года (по Самарской области – 100,3 процента</w:t>
      </w:r>
      <w:proofErr w:type="gramStart"/>
      <w:r w:rsidRPr="00260878">
        <w:rPr>
          <w:sz w:val="24"/>
          <w:szCs w:val="24"/>
          <w:vertAlign w:val="superscript"/>
        </w:rPr>
        <w:t>2</w:t>
      </w:r>
      <w:proofErr w:type="gramEnd"/>
      <w:r w:rsidRPr="00260878">
        <w:rPr>
          <w:sz w:val="24"/>
          <w:szCs w:val="24"/>
        </w:rPr>
        <w:t>), к предыдущему месяцу – 103,8 процента, (по Самарской области – 101,5 процента</w:t>
      </w:r>
      <w:r w:rsidRPr="00260878">
        <w:rPr>
          <w:sz w:val="24"/>
          <w:szCs w:val="24"/>
          <w:vertAlign w:val="superscript"/>
        </w:rPr>
        <w:t>2</w:t>
      </w:r>
      <w:r w:rsidRPr="00260878">
        <w:rPr>
          <w:sz w:val="24"/>
          <w:szCs w:val="24"/>
        </w:rPr>
        <w:t>).</w:t>
      </w:r>
    </w:p>
    <w:p w:rsidR="00757B7D" w:rsidRDefault="00757B7D" w:rsidP="00757B7D">
      <w:pPr>
        <w:pStyle w:val="a8"/>
        <w:spacing w:before="0" w:line="276" w:lineRule="auto"/>
        <w:ind w:firstLine="709"/>
        <w:rPr>
          <w:sz w:val="24"/>
          <w:szCs w:val="24"/>
        </w:rPr>
      </w:pPr>
      <w:r w:rsidRPr="00260878">
        <w:rPr>
          <w:sz w:val="24"/>
          <w:szCs w:val="24"/>
        </w:rPr>
        <w:t>За январь-сентябрь 2018 года индекс промышленного производства составил 108,0 процента к соответствующему периоду прошлого года (по Самарской области – 99,8 процента</w:t>
      </w:r>
      <w:proofErr w:type="gramStart"/>
      <w:r w:rsidRPr="00260878">
        <w:rPr>
          <w:sz w:val="24"/>
          <w:szCs w:val="24"/>
          <w:vertAlign w:val="superscript"/>
        </w:rPr>
        <w:t>2</w:t>
      </w:r>
      <w:proofErr w:type="gramEnd"/>
      <w:r w:rsidRPr="00260878">
        <w:rPr>
          <w:sz w:val="24"/>
          <w:szCs w:val="24"/>
        </w:rPr>
        <w:t>)</w:t>
      </w:r>
      <w:r w:rsidR="00945B28" w:rsidRPr="00945B28">
        <w:rPr>
          <w:sz w:val="24"/>
          <w:szCs w:val="24"/>
        </w:rPr>
        <w:t xml:space="preserve"> [4]</w:t>
      </w:r>
      <w:r w:rsidRPr="00260878">
        <w:rPr>
          <w:sz w:val="24"/>
          <w:szCs w:val="24"/>
        </w:rPr>
        <w:t>.</w:t>
      </w:r>
    </w:p>
    <w:p w:rsidR="00E379CA" w:rsidRPr="00260878" w:rsidRDefault="00E379CA" w:rsidP="00757B7D">
      <w:pPr>
        <w:pStyle w:val="a8"/>
        <w:spacing w:before="0" w:line="276" w:lineRule="auto"/>
        <w:ind w:firstLine="709"/>
        <w:rPr>
          <w:sz w:val="24"/>
          <w:szCs w:val="24"/>
        </w:rPr>
      </w:pPr>
    </w:p>
    <w:p w:rsidR="00757B7D" w:rsidRPr="00260878" w:rsidRDefault="00757B7D" w:rsidP="00757B7D">
      <w:pPr>
        <w:pStyle w:val="ac"/>
        <w:ind w:firstLine="567"/>
        <w:rPr>
          <w:szCs w:val="24"/>
        </w:rPr>
      </w:pPr>
      <w:r w:rsidRPr="00260878">
        <w:rPr>
          <w:szCs w:val="24"/>
        </w:rPr>
        <w:t>Индекс промышленного производства по видам экономической деятельности в январе-сентябре 2018 года</w:t>
      </w:r>
    </w:p>
    <w:tbl>
      <w:tblPr>
        <w:tblStyle w:val="3-1"/>
        <w:tblW w:w="9498" w:type="dxa"/>
        <w:tblLayout w:type="fixed"/>
        <w:tblLook w:val="04A0" w:firstRow="1" w:lastRow="0" w:firstColumn="1" w:lastColumn="0" w:noHBand="0" w:noVBand="1"/>
      </w:tblPr>
      <w:tblGrid>
        <w:gridCol w:w="7230"/>
        <w:gridCol w:w="2268"/>
      </w:tblGrid>
      <w:tr w:rsidR="00193809" w:rsidRPr="00902D6B" w:rsidTr="00644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Merge w:val="restart"/>
            <w:shd w:val="clear" w:color="auto" w:fill="2A5DA8"/>
          </w:tcPr>
          <w:p w:rsidR="00193809" w:rsidRPr="00902D6B" w:rsidRDefault="00193809" w:rsidP="001001A2">
            <w:pPr>
              <w:keepNext/>
              <w:jc w:val="center"/>
              <w:outlineLvl w:val="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2A5DA8"/>
            <w:hideMark/>
          </w:tcPr>
          <w:p w:rsidR="00193809" w:rsidRPr="00757B7D" w:rsidRDefault="00757B7D" w:rsidP="001001A2">
            <w:pPr>
              <w:ind w:left="-28" w:right="-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757B7D">
              <w:rPr>
                <w:rFonts w:ascii="Times New Roman" w:hAnsi="Times New Roman" w:cs="Times New Roman"/>
              </w:rPr>
              <w:t xml:space="preserve">Январь-сентябрь 2018 г. </w:t>
            </w:r>
            <w:proofErr w:type="gramStart"/>
            <w:r w:rsidRPr="00757B7D">
              <w:rPr>
                <w:rFonts w:ascii="Times New Roman" w:hAnsi="Times New Roman" w:cs="Times New Roman"/>
              </w:rPr>
              <w:t>в</w:t>
            </w:r>
            <w:proofErr w:type="gramEnd"/>
            <w:r w:rsidRPr="00757B7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757B7D">
              <w:rPr>
                <w:rFonts w:ascii="Times New Roman" w:hAnsi="Times New Roman" w:cs="Times New Roman"/>
              </w:rPr>
              <w:t>к</w:t>
            </w:r>
            <w:proofErr w:type="gramEnd"/>
            <w:r w:rsidRPr="00757B7D">
              <w:rPr>
                <w:rFonts w:ascii="Times New Roman" w:hAnsi="Times New Roman" w:cs="Times New Roman"/>
              </w:rPr>
              <w:t xml:space="preserve"> январю-сентябрю 2017 г.</w:t>
            </w:r>
          </w:p>
        </w:tc>
      </w:tr>
      <w:tr w:rsidR="00193809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Merge/>
            <w:shd w:val="clear" w:color="auto" w:fill="2A5DA8"/>
            <w:hideMark/>
          </w:tcPr>
          <w:p w:rsidR="00193809" w:rsidRPr="00902D6B" w:rsidRDefault="00193809" w:rsidP="001001A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2A5DA8"/>
            <w:hideMark/>
          </w:tcPr>
          <w:p w:rsidR="00193809" w:rsidRPr="00902D6B" w:rsidRDefault="00193809" w:rsidP="0010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7B7D" w:rsidRPr="00902D6B" w:rsidTr="006442B4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right="142"/>
              <w:rPr>
                <w:rFonts w:ascii="Times New Roman" w:hAnsi="Times New Roman" w:cs="Times New Roman"/>
                <w:b w:val="0"/>
              </w:rPr>
            </w:pPr>
            <w:r w:rsidRPr="00757B7D">
              <w:rPr>
                <w:rFonts w:ascii="Times New Roman" w:hAnsi="Times New Roman" w:cs="Times New Roman"/>
                <w:b w:val="0"/>
              </w:rPr>
              <w:t>Промышленное производство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7B7D">
              <w:rPr>
                <w:rFonts w:ascii="Times New Roman" w:hAnsi="Times New Roman" w:cs="Times New Roman"/>
                <w:b/>
                <w:bCs/>
              </w:rPr>
              <w:t>108,0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113" w:right="142"/>
              <w:rPr>
                <w:rFonts w:ascii="Times New Roman" w:hAnsi="Times New Roman" w:cs="Times New Roman"/>
                <w:i/>
              </w:rPr>
            </w:pPr>
            <w:r w:rsidRPr="00757B7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113" w:right="142"/>
              <w:rPr>
                <w:rFonts w:ascii="Times New Roman" w:hAnsi="Times New Roman" w:cs="Times New Roman"/>
                <w:b w:val="0"/>
              </w:rPr>
            </w:pPr>
            <w:r w:rsidRPr="00757B7D">
              <w:rPr>
                <w:rFonts w:ascii="Times New Roman" w:hAnsi="Times New Roman" w:cs="Times New Roman"/>
                <w:b w:val="0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7B7D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113" w:right="142"/>
              <w:rPr>
                <w:rFonts w:ascii="Times New Roman" w:hAnsi="Times New Roman" w:cs="Times New Roman"/>
                <w:b w:val="0"/>
              </w:rPr>
            </w:pPr>
            <w:r w:rsidRPr="00757B7D">
              <w:rPr>
                <w:rFonts w:ascii="Times New Roman" w:hAnsi="Times New Roman" w:cs="Times New Roman"/>
                <w:b w:val="0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7B7D">
              <w:rPr>
                <w:rFonts w:ascii="Times New Roman" w:hAnsi="Times New Roman" w:cs="Times New Roman"/>
                <w:b/>
                <w:bCs/>
              </w:rPr>
              <w:t>108,1</w:t>
            </w:r>
          </w:p>
        </w:tc>
      </w:tr>
      <w:tr w:rsidR="00193809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193809" w:rsidRPr="00757B7D" w:rsidRDefault="00193809" w:rsidP="001001A2">
            <w:pPr>
              <w:ind w:left="284" w:right="142"/>
              <w:rPr>
                <w:rFonts w:ascii="Times New Roman" w:hAnsi="Times New Roman" w:cs="Times New Roman"/>
                <w:i/>
              </w:rPr>
            </w:pPr>
            <w:r w:rsidRPr="00757B7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2268" w:type="dxa"/>
          </w:tcPr>
          <w:p w:rsidR="00193809" w:rsidRPr="00757B7D" w:rsidRDefault="00193809" w:rsidP="001001A2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100,4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напитков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39,1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121,2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218,8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121,3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103,0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131,6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29,1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 металлургическое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52,5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96,6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68,2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138,3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116,8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97,3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113" w:right="142"/>
              <w:rPr>
                <w:rFonts w:ascii="Times New Roman" w:hAnsi="Times New Roman" w:cs="Times New Roman"/>
                <w:b w:val="0"/>
              </w:rPr>
            </w:pPr>
            <w:r w:rsidRPr="00757B7D">
              <w:rPr>
                <w:rFonts w:ascii="Times New Roman" w:hAnsi="Times New Roman" w:cs="Times New Roman"/>
                <w:b w:val="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7B7D">
              <w:rPr>
                <w:rFonts w:ascii="Times New Roman" w:hAnsi="Times New Roman" w:cs="Times New Roman"/>
                <w:b/>
                <w:bCs/>
              </w:rPr>
              <w:t>104,7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  <w:i/>
              </w:rPr>
            </w:pPr>
            <w:r w:rsidRPr="00757B7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производство, передача и распределение электроэнергии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105,4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 и распределение газообразного топлива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106,1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104,4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113" w:right="142"/>
              <w:rPr>
                <w:rFonts w:ascii="Times New Roman" w:hAnsi="Times New Roman" w:cs="Times New Roman"/>
                <w:b w:val="0"/>
              </w:rPr>
            </w:pPr>
            <w:r w:rsidRPr="00757B7D">
              <w:rPr>
                <w:rFonts w:ascii="Times New Roman" w:hAnsi="Times New Roman" w:cs="Times New Roman"/>
                <w:b w:val="0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7B7D">
              <w:rPr>
                <w:rFonts w:ascii="Times New Roman" w:hAnsi="Times New Roman" w:cs="Times New Roman"/>
                <w:b/>
                <w:bCs/>
              </w:rPr>
              <w:t>113,5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284" w:right="142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568" w:right="142" w:hanging="284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101,5</w:t>
            </w:r>
          </w:p>
        </w:tc>
      </w:tr>
      <w:tr w:rsidR="00757B7D" w:rsidRPr="00902D6B" w:rsidTr="0064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568" w:right="142" w:hanging="284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103,7</w:t>
            </w:r>
          </w:p>
        </w:tc>
      </w:tr>
      <w:tr w:rsidR="00757B7D" w:rsidRPr="00902D6B" w:rsidTr="0064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2A5DA8"/>
          </w:tcPr>
          <w:p w:rsidR="00757B7D" w:rsidRPr="00757B7D" w:rsidRDefault="00757B7D" w:rsidP="001001A2">
            <w:pPr>
              <w:ind w:left="568" w:right="142" w:hanging="284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68" w:type="dxa"/>
          </w:tcPr>
          <w:p w:rsidR="00757B7D" w:rsidRPr="00757B7D" w:rsidRDefault="00757B7D" w:rsidP="00100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7B7D">
              <w:rPr>
                <w:rFonts w:ascii="Times New Roman" w:hAnsi="Times New Roman" w:cs="Times New Roman"/>
              </w:rPr>
              <w:t>119,3</w:t>
            </w:r>
          </w:p>
        </w:tc>
      </w:tr>
    </w:tbl>
    <w:p w:rsidR="00B256C8" w:rsidRPr="00757B7D" w:rsidRDefault="00B256C8" w:rsidP="00B256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B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 по организациям-производителям, не </w:t>
      </w:r>
      <w:proofErr w:type="gramStart"/>
      <w:r w:rsidRPr="00757B7D">
        <w:rPr>
          <w:rFonts w:ascii="Times New Roman" w:eastAsia="Times New Roman" w:hAnsi="Times New Roman" w:cs="Times New Roman"/>
          <w:sz w:val="16"/>
          <w:szCs w:val="16"/>
          <w:lang w:eastAsia="ru-RU"/>
        </w:rPr>
        <w:t>относящихся</w:t>
      </w:r>
      <w:proofErr w:type="gramEnd"/>
      <w:r w:rsidRPr="00757B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субъектам малого  предпринимательства</w:t>
      </w:r>
    </w:p>
    <w:p w:rsidR="007A3A4E" w:rsidRDefault="00B256C8" w:rsidP="00B256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B7D">
        <w:rPr>
          <w:rFonts w:ascii="Times New Roman" w:eastAsia="Times New Roman" w:hAnsi="Times New Roman" w:cs="Times New Roman"/>
          <w:sz w:val="16"/>
          <w:szCs w:val="16"/>
          <w:lang w:eastAsia="ru-RU"/>
        </w:rPr>
        <w:t>2 – по полному кругу организаций производителей</w:t>
      </w:r>
    </w:p>
    <w:p w:rsidR="0069034D" w:rsidRDefault="0069034D" w:rsidP="00B256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969" w:rsidRDefault="00E44969" w:rsidP="00B256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DCF" w:rsidRPr="009D27A4" w:rsidRDefault="005F6DCF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 w:rsidRPr="009D27A4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t xml:space="preserve">РЫНОК ТРУДА </w:t>
      </w:r>
    </w:p>
    <w:p w:rsidR="00B256C8" w:rsidRPr="00260878" w:rsidRDefault="00B256C8" w:rsidP="00B2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Неполная занятость</w:t>
      </w:r>
    </w:p>
    <w:p w:rsidR="009D27A4" w:rsidRPr="00260878" w:rsidRDefault="009D27A4" w:rsidP="00086E66">
      <w:pPr>
        <w:pStyle w:val="ac"/>
        <w:spacing w:line="276" w:lineRule="auto"/>
        <w:ind w:firstLine="709"/>
        <w:jc w:val="both"/>
        <w:rPr>
          <w:b w:val="0"/>
          <w:szCs w:val="24"/>
        </w:rPr>
      </w:pPr>
      <w:r w:rsidRPr="00260878">
        <w:rPr>
          <w:b w:val="0"/>
          <w:szCs w:val="24"/>
        </w:rPr>
        <w:t>В третьем квартале 2018 года численность работников, находившихся в простое по вине работодателя, и по причинам, не зависящим от работодателя и работника, составила 5,6 тыс. человек или 59,4 процента от данного показателя по Самарской области за отчетный период.</w:t>
      </w:r>
    </w:p>
    <w:p w:rsidR="009D27A4" w:rsidRPr="00260878" w:rsidRDefault="009D27A4" w:rsidP="00086E66">
      <w:pPr>
        <w:pStyle w:val="ac"/>
        <w:spacing w:line="276" w:lineRule="auto"/>
        <w:ind w:firstLine="709"/>
        <w:jc w:val="both"/>
        <w:rPr>
          <w:b w:val="0"/>
          <w:szCs w:val="24"/>
        </w:rPr>
      </w:pPr>
      <w:r w:rsidRPr="00260878">
        <w:rPr>
          <w:b w:val="0"/>
          <w:szCs w:val="24"/>
        </w:rPr>
        <w:t>Общая численность работников, находившихся в режиме неполной занятости, в третьем квартале 2018 года составила 2,4 тыс. человек или 16,6 процента от данного показателя по Самарской области за отчетный период.</w:t>
      </w:r>
    </w:p>
    <w:p w:rsidR="00260878" w:rsidRDefault="00260878" w:rsidP="00B2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C8" w:rsidRPr="00260878" w:rsidRDefault="00B256C8" w:rsidP="00B2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 работников</w:t>
      </w:r>
    </w:p>
    <w:p w:rsidR="009D27A4" w:rsidRDefault="009D27A4" w:rsidP="009D27A4">
      <w:pPr>
        <w:pStyle w:val="ac"/>
        <w:spacing w:line="276" w:lineRule="auto"/>
        <w:ind w:firstLine="709"/>
        <w:jc w:val="both"/>
        <w:rPr>
          <w:b w:val="0"/>
          <w:szCs w:val="24"/>
        </w:rPr>
      </w:pPr>
      <w:r w:rsidRPr="00260878">
        <w:rPr>
          <w:b w:val="0"/>
          <w:szCs w:val="24"/>
        </w:rPr>
        <w:t xml:space="preserve">В январе-сентябре 2018 года по данным организаций г. Тольятти было принято на работу 24,4 тыс. человек, а выбыло 29,4 тыс. человек (по Самарской области данный показатель составил 145,9 и 161,9 тыс. человек соответственно). Таким образом, в г. Тольятти за рассматриваемый период на 100 человек принятых на работу приходится 120 выбывших работника (по Самарской области – 111 работников). </w:t>
      </w:r>
    </w:p>
    <w:p w:rsidR="00260878" w:rsidRPr="00260878" w:rsidRDefault="00260878" w:rsidP="009D27A4">
      <w:pPr>
        <w:pStyle w:val="ac"/>
        <w:spacing w:line="276" w:lineRule="auto"/>
        <w:ind w:firstLine="709"/>
        <w:jc w:val="both"/>
        <w:rPr>
          <w:b w:val="0"/>
          <w:szCs w:val="24"/>
        </w:rPr>
      </w:pPr>
      <w:r w:rsidRPr="00260878">
        <w:rPr>
          <w:b w:val="0"/>
          <w:szCs w:val="24"/>
        </w:rPr>
        <w:t xml:space="preserve">Численность работников, принятых на дополнительно введенные рабочие места за январь-сентябрь 2018 года, составила 433 человека (4,5 процента </w:t>
      </w:r>
      <w:proofErr w:type="gramStart"/>
      <w:r w:rsidRPr="00260878">
        <w:rPr>
          <w:b w:val="0"/>
          <w:szCs w:val="24"/>
        </w:rPr>
        <w:t>к</w:t>
      </w:r>
      <w:proofErr w:type="gramEnd"/>
      <w:r w:rsidRPr="00260878">
        <w:rPr>
          <w:b w:val="0"/>
          <w:szCs w:val="24"/>
        </w:rPr>
        <w:t xml:space="preserve"> принятым). Данный показатель по Самарской области составляет 2783 человек или 5,0 процента к принятым работникам.</w:t>
      </w:r>
    </w:p>
    <w:p w:rsidR="001338A7" w:rsidRDefault="001338A7" w:rsidP="00260878">
      <w:pPr>
        <w:pStyle w:val="ac"/>
        <w:ind w:firstLine="567"/>
      </w:pPr>
    </w:p>
    <w:p w:rsidR="001001B1" w:rsidRPr="00902D6B" w:rsidRDefault="001001B1" w:rsidP="00260878">
      <w:pPr>
        <w:pStyle w:val="ac"/>
        <w:ind w:firstLine="567"/>
        <w:rPr>
          <w:b w:val="0"/>
          <w:sz w:val="22"/>
          <w:szCs w:val="22"/>
          <w:highlight w:val="yellow"/>
        </w:rPr>
      </w:pPr>
      <w:r w:rsidRPr="00260878">
        <w:t xml:space="preserve">Структура выбывших работников </w:t>
      </w:r>
      <w:r w:rsidR="00260878" w:rsidRPr="00F83982">
        <w:t>за январь-сентябрь 2018 года</w:t>
      </w:r>
    </w:p>
    <w:p w:rsidR="00766548" w:rsidRDefault="00766548" w:rsidP="001001B1">
      <w:pPr>
        <w:pStyle w:val="ac"/>
        <w:ind w:firstLine="567"/>
        <w:jc w:val="right"/>
        <w:rPr>
          <w:b w:val="0"/>
          <w:i/>
          <w:sz w:val="20"/>
          <w:szCs w:val="22"/>
        </w:rPr>
      </w:pPr>
    </w:p>
    <w:p w:rsidR="001001B1" w:rsidRDefault="001001B1" w:rsidP="001001B1">
      <w:pPr>
        <w:pStyle w:val="ac"/>
        <w:ind w:firstLine="567"/>
        <w:jc w:val="right"/>
        <w:rPr>
          <w:b w:val="0"/>
          <w:i/>
          <w:sz w:val="20"/>
          <w:szCs w:val="22"/>
        </w:rPr>
      </w:pPr>
      <w:proofErr w:type="gramStart"/>
      <w:r w:rsidRPr="00260878">
        <w:rPr>
          <w:b w:val="0"/>
          <w:i/>
          <w:sz w:val="20"/>
          <w:szCs w:val="22"/>
        </w:rPr>
        <w:t>в</w:t>
      </w:r>
      <w:proofErr w:type="gramEnd"/>
      <w:r w:rsidRPr="00260878">
        <w:rPr>
          <w:b w:val="0"/>
          <w:i/>
          <w:sz w:val="20"/>
          <w:szCs w:val="22"/>
        </w:rPr>
        <w:t xml:space="preserve"> % </w:t>
      </w:r>
      <w:proofErr w:type="gramStart"/>
      <w:r w:rsidRPr="00260878">
        <w:rPr>
          <w:b w:val="0"/>
          <w:i/>
          <w:sz w:val="20"/>
          <w:szCs w:val="22"/>
        </w:rPr>
        <w:t>к</w:t>
      </w:r>
      <w:proofErr w:type="gramEnd"/>
      <w:r w:rsidRPr="00260878">
        <w:rPr>
          <w:b w:val="0"/>
          <w:i/>
          <w:sz w:val="20"/>
          <w:szCs w:val="22"/>
        </w:rPr>
        <w:t xml:space="preserve"> численности выбывших работников</w:t>
      </w:r>
    </w:p>
    <w:p w:rsidR="00260878" w:rsidRPr="00260878" w:rsidRDefault="00260878" w:rsidP="001001B1">
      <w:pPr>
        <w:pStyle w:val="ac"/>
        <w:ind w:firstLine="567"/>
        <w:jc w:val="right"/>
        <w:rPr>
          <w:b w:val="0"/>
          <w:i/>
          <w:sz w:val="20"/>
          <w:szCs w:val="22"/>
        </w:rPr>
      </w:pPr>
    </w:p>
    <w:p w:rsidR="001001B1" w:rsidRPr="00902D6B" w:rsidRDefault="00260878" w:rsidP="001001B1">
      <w:pPr>
        <w:pStyle w:val="ac"/>
        <w:rPr>
          <w:b w:val="0"/>
          <w:szCs w:val="24"/>
          <w:highlight w:val="yellow"/>
        </w:rPr>
      </w:pPr>
      <w:r w:rsidRPr="005B08EA">
        <w:rPr>
          <w:noProof/>
        </w:rPr>
        <w:drawing>
          <wp:inline distT="0" distB="0" distL="0" distR="0" wp14:anchorId="78AF2B1D" wp14:editId="7315FC28">
            <wp:extent cx="5387340" cy="2103120"/>
            <wp:effectExtent l="0" t="0" r="381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38A7" w:rsidRDefault="001338A7" w:rsidP="00453399">
      <w:pPr>
        <w:pStyle w:val="ac"/>
        <w:rPr>
          <w:szCs w:val="24"/>
        </w:rPr>
      </w:pPr>
    </w:p>
    <w:p w:rsidR="001338A7" w:rsidRDefault="001338A7" w:rsidP="00453399">
      <w:pPr>
        <w:pStyle w:val="ac"/>
        <w:rPr>
          <w:szCs w:val="24"/>
        </w:rPr>
      </w:pPr>
    </w:p>
    <w:p w:rsidR="00B256C8" w:rsidRPr="00260878" w:rsidRDefault="00453399" w:rsidP="00453399">
      <w:pPr>
        <w:pStyle w:val="ac"/>
        <w:rPr>
          <w:b w:val="0"/>
          <w:szCs w:val="24"/>
        </w:rPr>
      </w:pPr>
      <w:r w:rsidRPr="00260878">
        <w:rPr>
          <w:szCs w:val="24"/>
        </w:rPr>
        <w:lastRenderedPageBreak/>
        <w:t>Занятость работников</w:t>
      </w:r>
    </w:p>
    <w:p w:rsidR="00453399" w:rsidRPr="00260878" w:rsidRDefault="00260878" w:rsidP="00453399">
      <w:pPr>
        <w:pStyle w:val="ac"/>
        <w:spacing w:line="276" w:lineRule="auto"/>
        <w:ind w:firstLine="567"/>
        <w:jc w:val="both"/>
        <w:rPr>
          <w:b w:val="0"/>
          <w:szCs w:val="24"/>
          <w:highlight w:val="yellow"/>
        </w:rPr>
      </w:pPr>
      <w:r w:rsidRPr="00260878">
        <w:rPr>
          <w:b w:val="0"/>
          <w:szCs w:val="24"/>
        </w:rPr>
        <w:t>В январе–сентябре 2018 года на предприятиях г. Тольятти,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составило 161,0 тыс. человек (в Самарской области – 777,0 тыс. человек)</w:t>
      </w:r>
      <w:r w:rsidR="00977713" w:rsidRPr="00977713">
        <w:rPr>
          <w:b w:val="0"/>
          <w:szCs w:val="24"/>
        </w:rPr>
        <w:t xml:space="preserve"> [4]</w:t>
      </w:r>
      <w:r w:rsidRPr="00260878">
        <w:rPr>
          <w:b w:val="0"/>
          <w:szCs w:val="24"/>
        </w:rPr>
        <w:t>.</w:t>
      </w:r>
    </w:p>
    <w:p w:rsidR="00453399" w:rsidRPr="00260878" w:rsidRDefault="00453399" w:rsidP="00453399">
      <w:pPr>
        <w:spacing w:after="0" w:line="240" w:lineRule="auto"/>
        <w:ind w:right="140" w:firstLine="561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6087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тыс. человек</w:t>
      </w:r>
    </w:p>
    <w:tbl>
      <w:tblPr>
        <w:tblStyle w:val="3-1"/>
        <w:tblW w:w="9525" w:type="dxa"/>
        <w:tblLayout w:type="fixed"/>
        <w:tblLook w:val="04A0" w:firstRow="1" w:lastRow="0" w:firstColumn="1" w:lastColumn="0" w:noHBand="0" w:noVBand="1"/>
      </w:tblPr>
      <w:tblGrid>
        <w:gridCol w:w="5211"/>
        <w:gridCol w:w="2330"/>
        <w:gridCol w:w="1984"/>
      </w:tblGrid>
      <w:tr w:rsidR="00453399" w:rsidRPr="00260878" w:rsidTr="006B7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2A5DA8"/>
          </w:tcPr>
          <w:p w:rsidR="00453399" w:rsidRPr="00260878" w:rsidRDefault="00453399" w:rsidP="00453399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shd w:val="clear" w:color="auto" w:fill="2A5DA8"/>
          </w:tcPr>
          <w:p w:rsidR="00260878" w:rsidRPr="00260878" w:rsidRDefault="00260878" w:rsidP="00260878">
            <w:pPr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 xml:space="preserve">Январь–сентябрь </w:t>
            </w:r>
          </w:p>
          <w:p w:rsidR="00453399" w:rsidRPr="00260878" w:rsidRDefault="00260878" w:rsidP="00260878">
            <w:pPr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984" w:type="dxa"/>
            <w:shd w:val="clear" w:color="auto" w:fill="2A5DA8"/>
          </w:tcPr>
          <w:p w:rsidR="00453399" w:rsidRPr="00260878" w:rsidRDefault="00453399" w:rsidP="00453399">
            <w:pPr>
              <w:widowControl w:val="0"/>
              <w:spacing w:before="60" w:after="6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Удельный вес, %</w:t>
            </w:r>
          </w:p>
        </w:tc>
      </w:tr>
      <w:tr w:rsidR="00453399" w:rsidRPr="00260878" w:rsidTr="006B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2A5DA8"/>
          </w:tcPr>
          <w:p w:rsidR="00453399" w:rsidRPr="00260878" w:rsidRDefault="00453399" w:rsidP="00453399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Всего замещенных рабочих мест (работников)</w:t>
            </w:r>
          </w:p>
        </w:tc>
        <w:tc>
          <w:tcPr>
            <w:tcW w:w="2330" w:type="dxa"/>
          </w:tcPr>
          <w:p w:rsidR="00453399" w:rsidRPr="00260878" w:rsidRDefault="00453399" w:rsidP="00260878">
            <w:pPr>
              <w:widowControl w:val="0"/>
              <w:spacing w:before="60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</w:t>
            </w:r>
            <w:r w:rsid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  <w:r w:rsidRP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  <w:r w:rsid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984" w:type="dxa"/>
          </w:tcPr>
          <w:p w:rsidR="00453399" w:rsidRPr="00260878" w:rsidRDefault="00453399" w:rsidP="00453399">
            <w:pPr>
              <w:widowControl w:val="0"/>
              <w:spacing w:before="120"/>
              <w:ind w:right="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53399" w:rsidRPr="00260878" w:rsidTr="006B7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2A5DA8"/>
          </w:tcPr>
          <w:p w:rsidR="00453399" w:rsidRPr="00260878" w:rsidRDefault="00453399" w:rsidP="00453399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2330" w:type="dxa"/>
          </w:tcPr>
          <w:p w:rsidR="00453399" w:rsidRPr="00260878" w:rsidRDefault="00453399" w:rsidP="00453399">
            <w:pPr>
              <w:widowControl w:val="0"/>
              <w:spacing w:before="120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</w:tcPr>
          <w:p w:rsidR="00453399" w:rsidRPr="00260878" w:rsidRDefault="00453399" w:rsidP="00453399">
            <w:pPr>
              <w:widowControl w:val="0"/>
              <w:spacing w:before="120"/>
              <w:ind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53399" w:rsidRPr="00260878" w:rsidTr="006B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2A5DA8"/>
          </w:tcPr>
          <w:p w:rsidR="00453399" w:rsidRPr="00260878" w:rsidRDefault="00453399" w:rsidP="00453399">
            <w:pPr>
              <w:pStyle w:val="a6"/>
              <w:widowControl w:val="0"/>
              <w:numPr>
                <w:ilvl w:val="0"/>
                <w:numId w:val="31"/>
              </w:numPr>
              <w:spacing w:before="120"/>
              <w:ind w:left="0" w:firstLine="547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2330" w:type="dxa"/>
          </w:tcPr>
          <w:p w:rsidR="00453399" w:rsidRPr="00260878" w:rsidRDefault="00453399" w:rsidP="00260878">
            <w:pPr>
              <w:widowControl w:val="0"/>
              <w:spacing w:before="120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</w:t>
            </w:r>
            <w:r w:rsid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  <w:r w:rsidRP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,9</w:t>
            </w:r>
          </w:p>
        </w:tc>
        <w:tc>
          <w:tcPr>
            <w:tcW w:w="1984" w:type="dxa"/>
          </w:tcPr>
          <w:p w:rsidR="00453399" w:rsidRPr="00260878" w:rsidRDefault="00453399" w:rsidP="00260878">
            <w:pPr>
              <w:widowControl w:val="0"/>
              <w:spacing w:before="120"/>
              <w:ind w:right="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608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608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53399" w:rsidRPr="00260878" w:rsidTr="006B7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2A5DA8"/>
          </w:tcPr>
          <w:p w:rsidR="00453399" w:rsidRPr="00260878" w:rsidRDefault="00453399" w:rsidP="00453399">
            <w:pPr>
              <w:pStyle w:val="a6"/>
              <w:widowControl w:val="0"/>
              <w:numPr>
                <w:ilvl w:val="0"/>
                <w:numId w:val="31"/>
              </w:numPr>
              <w:spacing w:before="120"/>
              <w:ind w:left="0" w:firstLine="547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внешних совместителей</w:t>
            </w:r>
          </w:p>
        </w:tc>
        <w:tc>
          <w:tcPr>
            <w:tcW w:w="2330" w:type="dxa"/>
          </w:tcPr>
          <w:p w:rsidR="00453399" w:rsidRPr="00260878" w:rsidRDefault="00453399" w:rsidP="00260878">
            <w:pPr>
              <w:widowControl w:val="0"/>
              <w:spacing w:before="120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2,</w:t>
            </w:r>
            <w:r w:rsid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984" w:type="dxa"/>
          </w:tcPr>
          <w:p w:rsidR="00453399" w:rsidRPr="00260878" w:rsidRDefault="00453399" w:rsidP="00260878">
            <w:pPr>
              <w:widowControl w:val="0"/>
              <w:spacing w:before="120"/>
              <w:ind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2608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3399" w:rsidRPr="00902D6B" w:rsidTr="006B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2A5DA8"/>
          </w:tcPr>
          <w:p w:rsidR="00453399" w:rsidRPr="00260878" w:rsidRDefault="00453399" w:rsidP="00453399">
            <w:pPr>
              <w:pStyle w:val="a6"/>
              <w:widowControl w:val="0"/>
              <w:numPr>
                <w:ilvl w:val="0"/>
                <w:numId w:val="31"/>
              </w:numPr>
              <w:spacing w:before="120"/>
              <w:ind w:left="0" w:firstLine="547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работников, выполнявших работы по договорам гражданско-правового характера</w:t>
            </w:r>
          </w:p>
        </w:tc>
        <w:tc>
          <w:tcPr>
            <w:tcW w:w="2330" w:type="dxa"/>
          </w:tcPr>
          <w:p w:rsidR="00453399" w:rsidRPr="00260878" w:rsidRDefault="00453399" w:rsidP="00260878">
            <w:pPr>
              <w:widowControl w:val="0"/>
              <w:spacing w:before="120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2,</w:t>
            </w:r>
            <w:r w:rsidR="002608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984" w:type="dxa"/>
          </w:tcPr>
          <w:p w:rsidR="00453399" w:rsidRPr="00260878" w:rsidRDefault="00453399" w:rsidP="00260878">
            <w:pPr>
              <w:widowControl w:val="0"/>
              <w:spacing w:before="120"/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78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2608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453399" w:rsidRPr="00902D6B" w:rsidRDefault="00453399" w:rsidP="001A1E44">
      <w:pPr>
        <w:pStyle w:val="a8"/>
        <w:spacing w:before="0"/>
        <w:ind w:firstLine="561"/>
        <w:jc w:val="right"/>
        <w:rPr>
          <w:i/>
          <w:iCs/>
          <w:highlight w:val="yellow"/>
        </w:rPr>
      </w:pPr>
    </w:p>
    <w:p w:rsidR="00453399" w:rsidRPr="00260878" w:rsidRDefault="00453399" w:rsidP="00453399">
      <w:pPr>
        <w:pStyle w:val="ac"/>
        <w:rPr>
          <w:szCs w:val="24"/>
        </w:rPr>
      </w:pPr>
      <w:r w:rsidRPr="00260878">
        <w:rPr>
          <w:szCs w:val="24"/>
        </w:rPr>
        <w:t>Безработица</w:t>
      </w:r>
    </w:p>
    <w:p w:rsidR="00260878" w:rsidRPr="00AE1BF1" w:rsidRDefault="00260878" w:rsidP="00260878">
      <w:pPr>
        <w:pStyle w:val="ac"/>
        <w:spacing w:line="276" w:lineRule="auto"/>
        <w:ind w:firstLine="709"/>
        <w:jc w:val="both"/>
        <w:rPr>
          <w:b w:val="0"/>
          <w:szCs w:val="24"/>
        </w:rPr>
      </w:pPr>
      <w:r w:rsidRPr="00AE1BF1">
        <w:rPr>
          <w:b w:val="0"/>
          <w:szCs w:val="24"/>
        </w:rPr>
        <w:t xml:space="preserve">На конец 3 квартала 2018 года, по данным ГКУ </w:t>
      </w:r>
      <w:proofErr w:type="gramStart"/>
      <w:r w:rsidRPr="00AE1BF1">
        <w:rPr>
          <w:b w:val="0"/>
          <w:szCs w:val="24"/>
        </w:rPr>
        <w:t>СО</w:t>
      </w:r>
      <w:proofErr w:type="gramEnd"/>
      <w:r w:rsidRPr="00AE1BF1">
        <w:rPr>
          <w:b w:val="0"/>
          <w:szCs w:val="24"/>
        </w:rPr>
        <w:t xml:space="preserve"> «Центр занятости населения городского округа Тольятти», численность незанятых граждан, состоящих на регистрационном учете, составила 3,7 тыс. человек, что на 37,1 процента меньше, чем на конец 3 квартала 2017 года. Доля незанятых граждан г. Тольятти в общей численности незанятого населения Самарской области составила 24,9 процента.</w:t>
      </w:r>
    </w:p>
    <w:p w:rsidR="00AE1BF1" w:rsidRPr="00AE1BF1" w:rsidRDefault="00AE1BF1" w:rsidP="00AE1BF1">
      <w:pPr>
        <w:pStyle w:val="ac"/>
        <w:ind w:firstLine="567"/>
        <w:jc w:val="both"/>
        <w:rPr>
          <w:b w:val="0"/>
          <w:szCs w:val="24"/>
        </w:rPr>
      </w:pPr>
      <w:r w:rsidRPr="00AE1BF1">
        <w:rPr>
          <w:b w:val="0"/>
          <w:szCs w:val="24"/>
        </w:rPr>
        <w:t xml:space="preserve">На конец сентября 2018 года, на учете состояло 3,4 тыс. человек безработных (на 2,1 тыс. человек или на 38,6 процента меньше, чем на конец сентября 2017 года). </w:t>
      </w:r>
    </w:p>
    <w:p w:rsidR="00260878" w:rsidRDefault="00AE1BF1" w:rsidP="00AE1BF1">
      <w:pPr>
        <w:pStyle w:val="ac"/>
        <w:ind w:firstLine="567"/>
        <w:jc w:val="both"/>
        <w:rPr>
          <w:b w:val="0"/>
          <w:szCs w:val="24"/>
        </w:rPr>
      </w:pPr>
      <w:r w:rsidRPr="00AE1BF1">
        <w:rPr>
          <w:b w:val="0"/>
          <w:szCs w:val="24"/>
        </w:rPr>
        <w:t>За январь–сентябрь 2018 года было признано безработными 5,5 тыс. человек. Снято с регистрационного учета 7,2 тыс. человек, из них трудоустроено 50,6 процента, снятых с учета в связи с профессиональным обучением или получением дополнительного профессионального образования – 13,6 процента</w:t>
      </w:r>
      <w:r w:rsidR="00977713" w:rsidRPr="00977713">
        <w:rPr>
          <w:b w:val="0"/>
          <w:szCs w:val="24"/>
        </w:rPr>
        <w:t xml:space="preserve"> [4]</w:t>
      </w:r>
      <w:r w:rsidRPr="00AE1BF1">
        <w:rPr>
          <w:b w:val="0"/>
          <w:szCs w:val="24"/>
        </w:rPr>
        <w:t>.</w:t>
      </w:r>
    </w:p>
    <w:p w:rsidR="001338A7" w:rsidRDefault="001338A7" w:rsidP="00AE1BF1">
      <w:pPr>
        <w:pStyle w:val="ac"/>
        <w:ind w:firstLine="567"/>
        <w:jc w:val="both"/>
        <w:rPr>
          <w:b w:val="0"/>
          <w:szCs w:val="24"/>
        </w:rPr>
      </w:pPr>
    </w:p>
    <w:p w:rsidR="008844F2" w:rsidRDefault="00CD0E32" w:rsidP="008844F2">
      <w:pPr>
        <w:pStyle w:val="ac"/>
        <w:ind w:firstLine="567"/>
        <w:jc w:val="left"/>
        <w:rPr>
          <w:b w:val="0"/>
          <w:szCs w:val="24"/>
        </w:rPr>
      </w:pPr>
      <w:r w:rsidRPr="00B133A2">
        <w:rPr>
          <w:i/>
          <w:iCs/>
          <w:noProof/>
        </w:rPr>
        <w:drawing>
          <wp:inline distT="0" distB="0" distL="0" distR="0" wp14:anchorId="45C1464F" wp14:editId="22B32848">
            <wp:extent cx="5753100" cy="2735580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0D76" w:rsidRDefault="00290D76" w:rsidP="00290D76">
      <w:pPr>
        <w:pStyle w:val="ac"/>
        <w:ind w:firstLine="567"/>
        <w:jc w:val="both"/>
        <w:rPr>
          <w:b w:val="0"/>
          <w:szCs w:val="24"/>
        </w:rPr>
      </w:pPr>
      <w:r w:rsidRPr="001338A7">
        <w:rPr>
          <w:b w:val="0"/>
          <w:szCs w:val="24"/>
        </w:rPr>
        <w:t xml:space="preserve">На 15.03.19 г. численность безработных граждан составила 3 929 чел., из которых  54,7 % приходится на женщин; 12,5 % - молодежь в возрасте до 30 лет; 9 % составляют граждане </w:t>
      </w:r>
      <w:proofErr w:type="spellStart"/>
      <w:r w:rsidRPr="001338A7">
        <w:rPr>
          <w:b w:val="0"/>
          <w:szCs w:val="24"/>
        </w:rPr>
        <w:t>предпенсионного</w:t>
      </w:r>
      <w:proofErr w:type="spellEnd"/>
      <w:r w:rsidRPr="001338A7">
        <w:rPr>
          <w:b w:val="0"/>
          <w:szCs w:val="24"/>
        </w:rPr>
        <w:t xml:space="preserve"> возраста; 11,5 % - уволенные по сокращению штата; 6,8 % - граждане, имеющие группу инвалидности [9].</w:t>
      </w:r>
      <w:r>
        <w:rPr>
          <w:b w:val="0"/>
          <w:szCs w:val="24"/>
        </w:rPr>
        <w:t xml:space="preserve"> </w:t>
      </w:r>
    </w:p>
    <w:p w:rsidR="002E2C29" w:rsidRPr="00B133A2" w:rsidRDefault="002E2C29" w:rsidP="002E2C29">
      <w:pPr>
        <w:pStyle w:val="ac"/>
        <w:rPr>
          <w:b w:val="0"/>
          <w:szCs w:val="24"/>
        </w:rPr>
      </w:pPr>
      <w:r w:rsidRPr="00B133A2">
        <w:rPr>
          <w:szCs w:val="24"/>
        </w:rPr>
        <w:lastRenderedPageBreak/>
        <w:t>Заработная плата</w:t>
      </w:r>
      <w:r w:rsidR="00B133A2" w:rsidRPr="00B133A2">
        <w:rPr>
          <w:szCs w:val="24"/>
        </w:rPr>
        <w:t xml:space="preserve"> работников</w:t>
      </w:r>
    </w:p>
    <w:p w:rsidR="00BF1C58" w:rsidRPr="00B133A2" w:rsidRDefault="00BF1C58" w:rsidP="002E2C29">
      <w:pPr>
        <w:pStyle w:val="ac"/>
        <w:spacing w:line="276" w:lineRule="auto"/>
        <w:ind w:firstLine="567"/>
        <w:jc w:val="both"/>
        <w:rPr>
          <w:b w:val="0"/>
          <w:sz w:val="22"/>
          <w:szCs w:val="22"/>
        </w:rPr>
      </w:pPr>
    </w:p>
    <w:p w:rsidR="00B133A2" w:rsidRPr="00B133A2" w:rsidRDefault="00474A6A" w:rsidP="00B133A2">
      <w:pPr>
        <w:pStyle w:val="ac"/>
        <w:spacing w:line="276" w:lineRule="auto"/>
        <w:ind w:firstLine="709"/>
        <w:jc w:val="both"/>
        <w:rPr>
          <w:b w:val="0"/>
          <w:szCs w:val="24"/>
        </w:rPr>
      </w:pPr>
      <w:r w:rsidRPr="001338A7">
        <w:rPr>
          <w:b w:val="0"/>
          <w:szCs w:val="24"/>
        </w:rPr>
        <w:t xml:space="preserve">По данным </w:t>
      </w:r>
      <w:r w:rsidR="00CA7581" w:rsidRPr="001338A7">
        <w:rPr>
          <w:b w:val="0"/>
          <w:szCs w:val="24"/>
        </w:rPr>
        <w:t>территориального органа федеральной  службы государственной  статистики по Самарской области</w:t>
      </w:r>
      <w:r>
        <w:rPr>
          <w:b w:val="0"/>
          <w:szCs w:val="24"/>
        </w:rPr>
        <w:t xml:space="preserve"> с</w:t>
      </w:r>
      <w:r w:rsidR="00B133A2" w:rsidRPr="00B133A2">
        <w:rPr>
          <w:b w:val="0"/>
          <w:szCs w:val="24"/>
        </w:rPr>
        <w:t>реднемесячная номинальная начисленная заработная плата работников</w:t>
      </w:r>
      <w:proofErr w:type="gramStart"/>
      <w:r w:rsidR="00615BE6" w:rsidRPr="00615BE6">
        <w:rPr>
          <w:b w:val="0"/>
          <w:szCs w:val="24"/>
          <w:vertAlign w:val="superscript"/>
        </w:rPr>
        <w:t>1</w:t>
      </w:r>
      <w:proofErr w:type="gramEnd"/>
      <w:r w:rsidR="00B133A2" w:rsidRPr="00B133A2">
        <w:rPr>
          <w:b w:val="0"/>
          <w:szCs w:val="24"/>
        </w:rPr>
        <w:t xml:space="preserve"> за январь–сентябрь 2018 года, в организациях г. Тольятти составила 37004 рубля и по сравнению с аналогичным периодом прошлого года увеличилась на 14,4 процента (по Самарской области – 37686 рублей, что на 10,4 процента больше, чем за январь–сентябрь 2017 года).</w:t>
      </w:r>
    </w:p>
    <w:p w:rsidR="00BA5724" w:rsidRPr="00B133A2" w:rsidRDefault="00BA5724" w:rsidP="00BA5724">
      <w:pPr>
        <w:pStyle w:val="ac"/>
        <w:spacing w:before="120"/>
        <w:ind w:firstLine="142"/>
        <w:jc w:val="both"/>
        <w:rPr>
          <w:b w:val="0"/>
          <w:i/>
          <w:sz w:val="20"/>
        </w:rPr>
      </w:pPr>
      <w:r w:rsidRPr="00B133A2">
        <w:rPr>
          <w:b w:val="0"/>
          <w:sz w:val="20"/>
          <w:vertAlign w:val="superscript"/>
        </w:rPr>
        <w:t xml:space="preserve">1 </w:t>
      </w:r>
      <w:r w:rsidRPr="00B133A2">
        <w:rPr>
          <w:b w:val="0"/>
          <w:sz w:val="20"/>
        </w:rPr>
        <w:t xml:space="preserve">– </w:t>
      </w:r>
      <w:r w:rsidRPr="00B133A2">
        <w:rPr>
          <w:b w:val="0"/>
          <w:i/>
          <w:sz w:val="20"/>
        </w:rPr>
        <w:t>сведения по организациям, не относящимся к субъектам малого предпринимательства, средняя численность работников которых превышает 15 человек, включая работающих по совместительству и договорам гражданско-правового характера</w:t>
      </w:r>
    </w:p>
    <w:p w:rsidR="00B133A2" w:rsidRPr="00B133A2" w:rsidRDefault="00B133A2" w:rsidP="00B133A2">
      <w:pPr>
        <w:pStyle w:val="ac"/>
        <w:spacing w:line="276" w:lineRule="auto"/>
        <w:ind w:firstLine="709"/>
        <w:jc w:val="both"/>
        <w:rPr>
          <w:b w:val="0"/>
          <w:szCs w:val="24"/>
        </w:rPr>
      </w:pPr>
      <w:r w:rsidRPr="00B133A2">
        <w:rPr>
          <w:b w:val="0"/>
          <w:szCs w:val="24"/>
        </w:rPr>
        <w:t>Величина прожиточного минимума на душу населения по Самарской области за III квартал 2018 года составила 10219 рублей и по сравнению с тем же периодом прошлого года выросла на 2,0 процента</w:t>
      </w:r>
      <w:r w:rsidR="00977713" w:rsidRPr="00977713">
        <w:rPr>
          <w:b w:val="0"/>
          <w:szCs w:val="24"/>
        </w:rPr>
        <w:t xml:space="preserve"> [4]</w:t>
      </w:r>
      <w:r w:rsidRPr="00B133A2">
        <w:rPr>
          <w:b w:val="0"/>
          <w:szCs w:val="24"/>
        </w:rPr>
        <w:t xml:space="preserve">. </w:t>
      </w:r>
    </w:p>
    <w:p w:rsidR="005F6DCF" w:rsidRPr="0084650C" w:rsidRDefault="005F6DCF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 w:rsidRPr="0084650C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t xml:space="preserve">МАЛЫЙ БИЗНЕС </w:t>
      </w:r>
    </w:p>
    <w:p w:rsidR="003130FA" w:rsidRDefault="003130FA" w:rsidP="002E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="00001272"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реестра субъектов малого и среднего предпринимательства </w:t>
      </w:r>
      <w:r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CA7581"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 (СМСП)</w:t>
      </w:r>
      <w:r w:rsidRPr="00CA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</w:t>
      </w: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 Тольятти по состоянию на 01.07.2018 г. (сведения получены 10.11.2018), составило 30 403 единиц, в том числе </w:t>
      </w:r>
      <w:proofErr w:type="spellStart"/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29 026 единиц, малых предприятий – 1 297 единиц, средних предприятий – 80 единиц, индивидуальных предпринимателей – 11 945 человек.</w:t>
      </w:r>
      <w:proofErr w:type="gramEnd"/>
    </w:p>
    <w:p w:rsidR="003130FA" w:rsidRPr="00096061" w:rsidRDefault="003130FA" w:rsidP="0031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малых предприятий городского округа заняты оптовой и розничной торговлей, ремонтом автотранспортных средств, мотоциклов, бытовых изделий и предметов личного пользования (38,7 %). Привлекательность данной отрасли обусловлена высокой оборачиваемостью капитала и низкими расходами на обслуживание бизнеса.</w:t>
      </w:r>
    </w:p>
    <w:p w:rsidR="003130FA" w:rsidRPr="00096061" w:rsidRDefault="003130FA" w:rsidP="0031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2018 года среднесписочная численность работников малых предприятий (без </w:t>
      </w:r>
      <w:proofErr w:type="spellStart"/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данным органов статистики составила 41,6 тыс. человек.</w:t>
      </w:r>
    </w:p>
    <w:p w:rsidR="003130FA" w:rsidRPr="00096061" w:rsidRDefault="003130FA" w:rsidP="0031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малых организаций (без </w:t>
      </w:r>
      <w:proofErr w:type="spellStart"/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1 полугодии 2018 года составил 62,7 млрд. рублей, из него доля оборота организаций, занимающихся оптовой и розничной торговлей в общем объеме составила около 60 %.</w:t>
      </w:r>
    </w:p>
    <w:p w:rsidR="003130FA" w:rsidRPr="00096061" w:rsidRDefault="003130FA" w:rsidP="0031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оборота малых предприятий в общем обороте организаций по городскому округу Тольятти в 1 полугодии 2018 года составил 15,2 %.</w:t>
      </w:r>
    </w:p>
    <w:p w:rsidR="002E1F06" w:rsidRPr="00C47F19" w:rsidRDefault="002E1F06" w:rsidP="0004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реализуется муниципальная программа городского округа Тольятти </w:t>
      </w:r>
      <w:r w:rsidR="00A97001" w:rsidRPr="00C47F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 среднего предпринимательства городского округа Тольятти на 201</w:t>
      </w:r>
      <w:r w:rsidR="00C45A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7F1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45A1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4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A97001" w:rsidRPr="00C47F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разделу – Программа), в рамках которой осуществляется финансовая, имущественная, информационная и консультационная помощь как вновь созданным, так и уже действующим </w:t>
      </w:r>
      <w:r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СМСП.</w:t>
      </w:r>
    </w:p>
    <w:p w:rsidR="003130FA" w:rsidRPr="00096061" w:rsidRDefault="003130FA" w:rsidP="0031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периоде 2018 года объявлялись конкурсные отборы по предоставлению безвозмездных субсидий СМСП по направлениям:</w:t>
      </w:r>
    </w:p>
    <w:p w:rsidR="003130FA" w:rsidRPr="003130FA" w:rsidRDefault="003130FA" w:rsidP="003130F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части затрат СМСП, связанных с осуществлением социально значимых видов деятельности, созданием и (или) развитием центров времяпрепровождения детей до 1,5 млн. рублей. По первому отбору подано 16 заявок, к конкурсу допущено 14 заявок (одна заявка отозвана, по одной заявке отказ в допуске из-за несоответствия условиям отбора). Велся прием второго пакета документов. По второму отбору подано 6 заявок.</w:t>
      </w:r>
    </w:p>
    <w:p w:rsidR="003130FA" w:rsidRPr="003130FA" w:rsidRDefault="003130FA" w:rsidP="003130FA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субсидирование части затрат СМСП, связанных с приобретением оборудования в целях создания и (или) развития, и (или) модернизации производства </w:t>
      </w:r>
      <w:r w:rsidRPr="00313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 (работ, услуг) до 2 млн. рублей. Подано 23 заявки, к конкурсу допущено 14 заявок. Осуществлялось рассмотрение поданных пакетов документации.</w:t>
      </w:r>
    </w:p>
    <w:p w:rsidR="003130FA" w:rsidRPr="00096061" w:rsidRDefault="003130FA" w:rsidP="0031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Муниципальным фондом поддержки и развития субъектов малого и среднего предпринимательства </w:t>
      </w:r>
      <w:proofErr w:type="spellStart"/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городского округа Тольятти выдано 24 займа. Целевые займы предоставляются сроком до 2 лет, сумма займа до 2 млн. рублей, процентная ставка 10% годовых. Займы предоставляются для развития собственного бизнеса, пополнения оборотных средств, приобретения оборудования на возвратной и возмездной основе</w:t>
      </w:r>
      <w:r w:rsidR="0000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272" w:rsidRPr="00001272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3EA" w:rsidRDefault="00530004" w:rsidP="00E45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данным органов статистики количество малых предприятий городского округа Тольятти (без </w:t>
      </w:r>
      <w:proofErr w:type="spellStart"/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</w:t>
      </w: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1 297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3 единицы меньше прошлого года</w:t>
      </w:r>
      <w:r w:rsidR="00977713" w:rsidRPr="009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</w:t>
      </w:r>
      <w:r w:rsidRPr="00096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-1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1256"/>
        <w:gridCol w:w="1552"/>
        <w:gridCol w:w="1298"/>
        <w:gridCol w:w="1443"/>
        <w:gridCol w:w="1489"/>
        <w:gridCol w:w="1573"/>
      </w:tblGrid>
      <w:tr w:rsidR="00E453EA" w:rsidRPr="00BC5365" w:rsidTr="00E45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shd w:val="clear" w:color="auto" w:fill="275A9D"/>
            <w:noWrap/>
            <w:hideMark/>
          </w:tcPr>
          <w:p w:rsidR="00E453EA" w:rsidRPr="00E453EA" w:rsidRDefault="00E453EA" w:rsidP="00E453EA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pct"/>
            <w:shd w:val="clear" w:color="auto" w:fill="275A9D"/>
          </w:tcPr>
          <w:p w:rsidR="00E453EA" w:rsidRPr="003D4BFE" w:rsidRDefault="00E453EA" w:rsidP="00E453EA">
            <w:pPr>
              <w:widowControl w:val="0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малых предприятий, единиц</w:t>
            </w:r>
          </w:p>
        </w:tc>
        <w:tc>
          <w:tcPr>
            <w:tcW w:w="811" w:type="pct"/>
            <w:shd w:val="clear" w:color="auto" w:fill="275A9D"/>
            <w:hideMark/>
          </w:tcPr>
          <w:p w:rsidR="00E453EA" w:rsidRPr="003D4BFE" w:rsidRDefault="00E453EA" w:rsidP="00E453EA">
            <w:pPr>
              <w:widowControl w:val="0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работников</w:t>
            </w: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 внешних совместителей,</w:t>
            </w: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678" w:type="pct"/>
            <w:shd w:val="clear" w:color="auto" w:fill="275A9D"/>
            <w:hideMark/>
          </w:tcPr>
          <w:p w:rsidR="00E453EA" w:rsidRPr="003D4BFE" w:rsidRDefault="00E453EA" w:rsidP="00E453EA">
            <w:pPr>
              <w:widowControl w:val="0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Средне-месячная</w:t>
            </w:r>
            <w:proofErr w:type="gramEnd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заработная плата</w:t>
            </w: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работников,</w:t>
            </w: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рублей</w:t>
            </w:r>
          </w:p>
        </w:tc>
        <w:tc>
          <w:tcPr>
            <w:tcW w:w="754" w:type="pct"/>
            <w:shd w:val="clear" w:color="auto" w:fill="275A9D"/>
            <w:hideMark/>
          </w:tcPr>
          <w:p w:rsidR="00E453EA" w:rsidRPr="003D4BFE" w:rsidRDefault="00E453EA" w:rsidP="00E453EA">
            <w:pPr>
              <w:widowControl w:val="0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организации (без НДС, акцизов и аналогичных обязательных платежей),</w:t>
            </w: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778" w:type="pct"/>
            <w:shd w:val="clear" w:color="auto" w:fill="275A9D"/>
            <w:hideMark/>
          </w:tcPr>
          <w:p w:rsidR="00E453EA" w:rsidRPr="003D4BFE" w:rsidRDefault="00E453EA" w:rsidP="00E453EA">
            <w:pPr>
              <w:widowControl w:val="0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(без НДС и акциза), </w:t>
            </w:r>
            <w:proofErr w:type="spellStart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822" w:type="pct"/>
            <w:shd w:val="clear" w:color="auto" w:fill="275A9D"/>
            <w:hideMark/>
          </w:tcPr>
          <w:p w:rsidR="00E453EA" w:rsidRPr="003D4BFE" w:rsidRDefault="00E453EA" w:rsidP="00E453EA">
            <w:pPr>
              <w:widowControl w:val="0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Продано товаров несобственного производства (без НДС, акцизов и аналогичных обязательных платежей),</w:t>
            </w:r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D4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</w:tr>
      <w:tr w:rsidR="00E453EA" w:rsidRPr="005C2FF5" w:rsidTr="00E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hideMark/>
          </w:tcPr>
          <w:p w:rsidR="00E453EA" w:rsidRPr="00BC5365" w:rsidRDefault="00E453EA" w:rsidP="00E453EA">
            <w:pP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BC5365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6" w:type="pct"/>
            <w:hideMark/>
          </w:tcPr>
          <w:p w:rsidR="00E453EA" w:rsidRPr="005C2FF5" w:rsidRDefault="00E453EA" w:rsidP="00E45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11" w:type="pct"/>
            <w:hideMark/>
          </w:tcPr>
          <w:p w:rsidR="00E453EA" w:rsidRPr="005C2FF5" w:rsidRDefault="00E453EA" w:rsidP="00E45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678" w:type="pct"/>
            <w:hideMark/>
          </w:tcPr>
          <w:p w:rsidR="00E453EA" w:rsidRPr="005C2FF5" w:rsidRDefault="00E453EA" w:rsidP="00E45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54" w:type="pct"/>
            <w:hideMark/>
          </w:tcPr>
          <w:p w:rsidR="00E453EA" w:rsidRPr="005C2FF5" w:rsidRDefault="00E453EA" w:rsidP="00E45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388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778" w:type="pct"/>
            <w:hideMark/>
          </w:tcPr>
          <w:p w:rsidR="00E453EA" w:rsidRPr="005C2FF5" w:rsidRDefault="00E453EA" w:rsidP="00E45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22" w:type="pct"/>
            <w:hideMark/>
          </w:tcPr>
          <w:p w:rsidR="00E453EA" w:rsidRPr="005C2FF5" w:rsidRDefault="00E453EA" w:rsidP="00E45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F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704</w:t>
            </w:r>
          </w:p>
        </w:tc>
      </w:tr>
    </w:tbl>
    <w:p w:rsidR="00E453EA" w:rsidRDefault="00E453EA" w:rsidP="00E45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04" w:rsidRPr="00902D6B" w:rsidRDefault="00530004" w:rsidP="00397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F6DCF" w:rsidRPr="00902D6B" w:rsidRDefault="007E76DC" w:rsidP="000B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4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E45D9" wp14:editId="72FA8180">
            <wp:extent cx="5417820" cy="362712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6DCF" w:rsidRPr="00744751" w:rsidRDefault="005F6DCF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 w:rsidRPr="00744751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t xml:space="preserve">ФИНАНСЫ </w:t>
      </w:r>
    </w:p>
    <w:p w:rsidR="00CC15CC" w:rsidRDefault="00CC15CC" w:rsidP="0052251E">
      <w:pPr>
        <w:pStyle w:val="af2"/>
        <w:ind w:firstLine="709"/>
        <w:jc w:val="both"/>
        <w:rPr>
          <w:b w:val="0"/>
          <w:szCs w:val="24"/>
        </w:rPr>
      </w:pPr>
      <w:r w:rsidRPr="0052251E">
        <w:rPr>
          <w:b w:val="0"/>
          <w:szCs w:val="24"/>
        </w:rPr>
        <w:t xml:space="preserve">Решением Думы городского округа Тольятти </w:t>
      </w:r>
      <w:r w:rsidR="00A97001" w:rsidRPr="0052251E">
        <w:rPr>
          <w:b w:val="0"/>
          <w:szCs w:val="24"/>
        </w:rPr>
        <w:t>«</w:t>
      </w:r>
      <w:r w:rsidRPr="0052251E">
        <w:rPr>
          <w:b w:val="0"/>
          <w:szCs w:val="24"/>
        </w:rPr>
        <w:t>О бюджете городского округа Тольятти на 201</w:t>
      </w:r>
      <w:r w:rsidR="0052251E" w:rsidRPr="0052251E">
        <w:rPr>
          <w:b w:val="0"/>
          <w:szCs w:val="24"/>
        </w:rPr>
        <w:t>8</w:t>
      </w:r>
      <w:r w:rsidRPr="0052251E">
        <w:rPr>
          <w:b w:val="0"/>
          <w:szCs w:val="24"/>
        </w:rPr>
        <w:t xml:space="preserve"> год и на плановый период 201</w:t>
      </w:r>
      <w:r w:rsidR="0052251E" w:rsidRPr="0052251E">
        <w:rPr>
          <w:b w:val="0"/>
          <w:szCs w:val="24"/>
        </w:rPr>
        <w:t>9</w:t>
      </w:r>
      <w:r w:rsidRPr="0052251E">
        <w:rPr>
          <w:b w:val="0"/>
          <w:szCs w:val="24"/>
        </w:rPr>
        <w:t xml:space="preserve"> и 20</w:t>
      </w:r>
      <w:r w:rsidR="0052251E" w:rsidRPr="0052251E">
        <w:rPr>
          <w:b w:val="0"/>
          <w:szCs w:val="24"/>
        </w:rPr>
        <w:t>20</w:t>
      </w:r>
      <w:r w:rsidRPr="0052251E">
        <w:rPr>
          <w:b w:val="0"/>
          <w:szCs w:val="24"/>
        </w:rPr>
        <w:t xml:space="preserve"> годов</w:t>
      </w:r>
      <w:r w:rsidR="00A97001" w:rsidRPr="0052251E">
        <w:rPr>
          <w:b w:val="0"/>
          <w:szCs w:val="24"/>
        </w:rPr>
        <w:t>»</w:t>
      </w:r>
      <w:r w:rsidRPr="0052251E">
        <w:rPr>
          <w:b w:val="0"/>
          <w:szCs w:val="24"/>
        </w:rPr>
        <w:t xml:space="preserve"> были утверждены следующие основные характеристики бюджета 201</w:t>
      </w:r>
      <w:r w:rsidR="0052251E" w:rsidRPr="0052251E">
        <w:rPr>
          <w:b w:val="0"/>
          <w:szCs w:val="24"/>
        </w:rPr>
        <w:t>8</w:t>
      </w:r>
      <w:r w:rsidRPr="0052251E">
        <w:rPr>
          <w:b w:val="0"/>
          <w:szCs w:val="24"/>
        </w:rPr>
        <w:t xml:space="preserve"> года: </w:t>
      </w:r>
    </w:p>
    <w:p w:rsidR="0052251E" w:rsidRPr="0052251E" w:rsidRDefault="0052251E" w:rsidP="0052251E">
      <w:pPr>
        <w:pStyle w:val="ConsPlusNormal"/>
        <w:widowControl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1E">
        <w:rPr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 w:rsidR="00550B48">
        <w:rPr>
          <w:rFonts w:ascii="Times New Roman" w:hAnsi="Times New Roman" w:cs="Times New Roman"/>
          <w:sz w:val="24"/>
          <w:szCs w:val="24"/>
        </w:rPr>
        <w:t>13 266 518</w:t>
      </w:r>
      <w:r w:rsidRPr="005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5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225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25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2251E">
        <w:rPr>
          <w:rFonts w:ascii="Times New Roman" w:hAnsi="Times New Roman" w:cs="Times New Roman"/>
          <w:sz w:val="24"/>
          <w:szCs w:val="24"/>
        </w:rPr>
        <w:t>.;</w:t>
      </w:r>
    </w:p>
    <w:p w:rsidR="0052251E" w:rsidRPr="0052251E" w:rsidRDefault="0052251E" w:rsidP="0052251E">
      <w:pPr>
        <w:pStyle w:val="ConsPlusNormal"/>
        <w:widowControl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1E">
        <w:rPr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="00550B48">
        <w:rPr>
          <w:rFonts w:ascii="Times New Roman" w:hAnsi="Times New Roman" w:cs="Times New Roman"/>
          <w:sz w:val="24"/>
          <w:szCs w:val="24"/>
        </w:rPr>
        <w:t>13 748 092</w:t>
      </w:r>
      <w:r w:rsidRPr="005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5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225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25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2251E">
        <w:rPr>
          <w:rFonts w:ascii="Times New Roman" w:hAnsi="Times New Roman" w:cs="Times New Roman"/>
          <w:sz w:val="24"/>
          <w:szCs w:val="24"/>
        </w:rPr>
        <w:t>.;</w:t>
      </w:r>
    </w:p>
    <w:p w:rsidR="0052251E" w:rsidRPr="0052251E" w:rsidRDefault="0052251E" w:rsidP="0052251E">
      <w:pPr>
        <w:pStyle w:val="ConsPlusNormal"/>
        <w:widowControl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1E">
        <w:rPr>
          <w:rFonts w:ascii="Times New Roman" w:hAnsi="Times New Roman" w:cs="Times New Roman"/>
          <w:sz w:val="24"/>
          <w:szCs w:val="24"/>
        </w:rPr>
        <w:t xml:space="preserve">дефицит – </w:t>
      </w:r>
      <w:r w:rsidR="00550B48">
        <w:rPr>
          <w:rFonts w:ascii="Times New Roman" w:hAnsi="Times New Roman" w:cs="Times New Roman"/>
          <w:sz w:val="24"/>
          <w:szCs w:val="24"/>
        </w:rPr>
        <w:t>481 574</w:t>
      </w:r>
      <w:r w:rsidRPr="005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5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225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25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2251E">
        <w:rPr>
          <w:rFonts w:ascii="Times New Roman" w:hAnsi="Times New Roman" w:cs="Times New Roman"/>
          <w:sz w:val="24"/>
          <w:szCs w:val="24"/>
        </w:rPr>
        <w:t>.</w:t>
      </w:r>
    </w:p>
    <w:p w:rsidR="00CC15CC" w:rsidRPr="003A4A66" w:rsidRDefault="00CC15CC" w:rsidP="00C93B14">
      <w:pPr>
        <w:pStyle w:val="af2"/>
        <w:ind w:firstLine="709"/>
        <w:jc w:val="both"/>
        <w:rPr>
          <w:b w:val="0"/>
          <w:szCs w:val="24"/>
        </w:rPr>
      </w:pPr>
      <w:r w:rsidRPr="00CF2069">
        <w:rPr>
          <w:b w:val="0"/>
          <w:szCs w:val="24"/>
        </w:rPr>
        <w:lastRenderedPageBreak/>
        <w:t>За  201</w:t>
      </w:r>
      <w:r w:rsidR="0052251E" w:rsidRPr="00CF2069">
        <w:rPr>
          <w:b w:val="0"/>
          <w:szCs w:val="24"/>
        </w:rPr>
        <w:t>8</w:t>
      </w:r>
      <w:r w:rsidRPr="00CF2069">
        <w:rPr>
          <w:b w:val="0"/>
          <w:szCs w:val="24"/>
        </w:rPr>
        <w:t xml:space="preserve"> год доходов в бюджет городского округа поступило  1</w:t>
      </w:r>
      <w:r w:rsidR="00353EBE" w:rsidRPr="00CF2069">
        <w:rPr>
          <w:b w:val="0"/>
          <w:szCs w:val="24"/>
        </w:rPr>
        <w:t>2</w:t>
      </w:r>
      <w:r w:rsidRPr="00CF2069">
        <w:rPr>
          <w:b w:val="0"/>
          <w:szCs w:val="24"/>
        </w:rPr>
        <w:t> </w:t>
      </w:r>
      <w:r w:rsidR="00353EBE" w:rsidRPr="00CF2069">
        <w:rPr>
          <w:b w:val="0"/>
          <w:szCs w:val="24"/>
        </w:rPr>
        <w:t>954</w:t>
      </w:r>
      <w:r w:rsidRPr="00CF2069">
        <w:rPr>
          <w:b w:val="0"/>
          <w:szCs w:val="24"/>
        </w:rPr>
        <w:t xml:space="preserve"> </w:t>
      </w:r>
      <w:r w:rsidR="00353EBE" w:rsidRPr="00CF2069">
        <w:rPr>
          <w:b w:val="0"/>
          <w:szCs w:val="24"/>
        </w:rPr>
        <w:t>569</w:t>
      </w:r>
      <w:r w:rsidRPr="00CF2069">
        <w:rPr>
          <w:b w:val="0"/>
          <w:szCs w:val="24"/>
        </w:rPr>
        <w:t xml:space="preserve"> тыс. руб. или </w:t>
      </w:r>
      <w:r w:rsidR="00CF2069">
        <w:rPr>
          <w:b w:val="0"/>
          <w:szCs w:val="24"/>
        </w:rPr>
        <w:t>97,6</w:t>
      </w:r>
      <w:r w:rsidRPr="00CF2069">
        <w:rPr>
          <w:b w:val="0"/>
          <w:szCs w:val="24"/>
        </w:rPr>
        <w:t xml:space="preserve">% к плану года. </w:t>
      </w:r>
      <w:r w:rsidRPr="003A4A66">
        <w:rPr>
          <w:b w:val="0"/>
          <w:szCs w:val="24"/>
        </w:rPr>
        <w:t>Размер безвозмездных поступлений из вышестоящих бюджетов текущего года составил 6</w:t>
      </w:r>
      <w:r w:rsidR="003A4A66" w:rsidRPr="003A4A66">
        <w:rPr>
          <w:b w:val="0"/>
          <w:szCs w:val="24"/>
        </w:rPr>
        <w:t> </w:t>
      </w:r>
      <w:r w:rsidRPr="003A4A66">
        <w:rPr>
          <w:b w:val="0"/>
          <w:szCs w:val="24"/>
        </w:rPr>
        <w:t>3</w:t>
      </w:r>
      <w:r w:rsidR="003A4A66" w:rsidRPr="003A4A66">
        <w:rPr>
          <w:b w:val="0"/>
          <w:szCs w:val="24"/>
        </w:rPr>
        <w:t>55 617</w:t>
      </w:r>
      <w:r w:rsidRPr="003A4A66">
        <w:rPr>
          <w:b w:val="0"/>
          <w:szCs w:val="24"/>
        </w:rPr>
        <w:t xml:space="preserve"> тыс. руб. </w:t>
      </w:r>
    </w:p>
    <w:p w:rsidR="00CC15CC" w:rsidRPr="0044556E" w:rsidRDefault="00CC15CC" w:rsidP="00C93B14">
      <w:pPr>
        <w:pStyle w:val="af2"/>
        <w:ind w:firstLine="709"/>
        <w:jc w:val="both"/>
        <w:rPr>
          <w:b w:val="0"/>
          <w:sz w:val="28"/>
          <w:szCs w:val="28"/>
        </w:rPr>
      </w:pPr>
      <w:r w:rsidRPr="00CF2069">
        <w:rPr>
          <w:b w:val="0"/>
          <w:szCs w:val="24"/>
        </w:rPr>
        <w:t xml:space="preserve">Расходы произведены в сумме </w:t>
      </w:r>
      <w:r w:rsidR="00B00738">
        <w:rPr>
          <w:b w:val="0"/>
          <w:szCs w:val="24"/>
        </w:rPr>
        <w:t>13</w:t>
      </w:r>
      <w:r w:rsidR="0044556E">
        <w:rPr>
          <w:b w:val="0"/>
          <w:szCs w:val="24"/>
        </w:rPr>
        <w:t> 178 988</w:t>
      </w:r>
      <w:r w:rsidRPr="00CF2069">
        <w:rPr>
          <w:b w:val="0"/>
          <w:szCs w:val="24"/>
        </w:rPr>
        <w:t xml:space="preserve"> тыс. руб., или 9</w:t>
      </w:r>
      <w:r w:rsidR="00CF2069">
        <w:rPr>
          <w:b w:val="0"/>
          <w:szCs w:val="24"/>
        </w:rPr>
        <w:t>5</w:t>
      </w:r>
      <w:r w:rsidRPr="00CF2069">
        <w:rPr>
          <w:b w:val="0"/>
          <w:szCs w:val="24"/>
        </w:rPr>
        <w:t>,</w:t>
      </w:r>
      <w:r w:rsidR="0044556E">
        <w:rPr>
          <w:b w:val="0"/>
          <w:szCs w:val="24"/>
        </w:rPr>
        <w:t>9</w:t>
      </w:r>
      <w:r w:rsidRPr="00CF2069">
        <w:rPr>
          <w:b w:val="0"/>
          <w:szCs w:val="24"/>
        </w:rPr>
        <w:t xml:space="preserve"> % к утвержденным Думой плановым показателям</w:t>
      </w:r>
      <w:r w:rsidRPr="0044556E">
        <w:rPr>
          <w:b w:val="0"/>
          <w:szCs w:val="24"/>
        </w:rPr>
        <w:t>, в том числе 6 </w:t>
      </w:r>
      <w:r w:rsidR="0044556E" w:rsidRPr="0044556E">
        <w:rPr>
          <w:b w:val="0"/>
          <w:szCs w:val="24"/>
        </w:rPr>
        <w:t>149</w:t>
      </w:r>
      <w:r w:rsidRPr="0044556E">
        <w:rPr>
          <w:b w:val="0"/>
          <w:szCs w:val="24"/>
        </w:rPr>
        <w:t xml:space="preserve"> </w:t>
      </w:r>
      <w:r w:rsidR="0044556E" w:rsidRPr="0044556E">
        <w:rPr>
          <w:b w:val="0"/>
          <w:szCs w:val="24"/>
        </w:rPr>
        <w:t>906</w:t>
      </w:r>
      <w:r w:rsidRPr="0044556E">
        <w:rPr>
          <w:b w:val="0"/>
          <w:szCs w:val="24"/>
        </w:rPr>
        <w:t xml:space="preserve"> тыс. руб. за счет средств вышестоящих бюджетов, или 9</w:t>
      </w:r>
      <w:r w:rsidR="0044556E" w:rsidRPr="0044556E">
        <w:rPr>
          <w:b w:val="0"/>
          <w:szCs w:val="24"/>
        </w:rPr>
        <w:t>3</w:t>
      </w:r>
      <w:r w:rsidRPr="0044556E">
        <w:rPr>
          <w:b w:val="0"/>
          <w:szCs w:val="24"/>
        </w:rPr>
        <w:t>,</w:t>
      </w:r>
      <w:r w:rsidR="0044556E" w:rsidRPr="0044556E">
        <w:rPr>
          <w:b w:val="0"/>
          <w:szCs w:val="24"/>
        </w:rPr>
        <w:t>6</w:t>
      </w:r>
      <w:r w:rsidRPr="0044556E">
        <w:rPr>
          <w:b w:val="0"/>
          <w:szCs w:val="24"/>
        </w:rPr>
        <w:t>% от утвержденного плана</w:t>
      </w:r>
      <w:r w:rsidR="00977713" w:rsidRPr="00977713">
        <w:rPr>
          <w:b w:val="0"/>
          <w:szCs w:val="24"/>
        </w:rPr>
        <w:t xml:space="preserve"> [5]</w:t>
      </w:r>
      <w:r w:rsidRPr="0044556E">
        <w:rPr>
          <w:b w:val="0"/>
          <w:szCs w:val="24"/>
        </w:rPr>
        <w:t>.</w:t>
      </w:r>
    </w:p>
    <w:p w:rsidR="00E453EA" w:rsidRDefault="00E453EA" w:rsidP="00CC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5CC" w:rsidRPr="00CF2069" w:rsidRDefault="00EE08DB" w:rsidP="00CC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Pr="00CF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исполнения</w:t>
      </w:r>
    </w:p>
    <w:p w:rsidR="00EE08DB" w:rsidRPr="00CF2069" w:rsidRDefault="00EE08DB" w:rsidP="00CC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округа Тольятти в 201</w:t>
      </w:r>
      <w:r w:rsidR="00CF2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F2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EE08DB" w:rsidRPr="0022465B" w:rsidRDefault="00EE08DB" w:rsidP="00EE08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65B">
        <w:rPr>
          <w:rFonts w:ascii="Times New Roman" w:eastAsia="Times New Roman" w:hAnsi="Times New Roman" w:cs="Times New Roman"/>
          <w:lang w:eastAsia="ru-RU"/>
        </w:rPr>
        <w:t>млн</w:t>
      </w:r>
      <w:proofErr w:type="gramStart"/>
      <w:r w:rsidRPr="0022465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2465B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="003A4A66" w:rsidRPr="0022465B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3-1"/>
        <w:tblW w:w="5000" w:type="pct"/>
        <w:tblLook w:val="04A0" w:firstRow="1" w:lastRow="0" w:firstColumn="1" w:lastColumn="0" w:noHBand="0" w:noVBand="1"/>
      </w:tblPr>
      <w:tblGrid>
        <w:gridCol w:w="3106"/>
        <w:gridCol w:w="2100"/>
        <w:gridCol w:w="1972"/>
        <w:gridCol w:w="2393"/>
      </w:tblGrid>
      <w:tr w:rsidR="00EE08DB" w:rsidRPr="00902D6B" w:rsidTr="00CB2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vMerge w:val="restart"/>
            <w:shd w:val="clear" w:color="auto" w:fill="2A5DA8"/>
            <w:hideMark/>
          </w:tcPr>
          <w:p w:rsidR="00EE08DB" w:rsidRPr="00CB2C7C" w:rsidRDefault="00EE08DB" w:rsidP="00CC15C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7C">
              <w:rPr>
                <w:rFonts w:ascii="Times New Roman" w:eastAsia="Times New Roman" w:hAnsi="Times New Roman" w:cs="Times New Roman"/>
                <w:bCs w:val="0"/>
                <w:kern w:val="24"/>
                <w:lang w:eastAsia="ru-RU"/>
              </w:rPr>
              <w:t xml:space="preserve">Наименование показателя  </w:t>
            </w:r>
          </w:p>
        </w:tc>
        <w:tc>
          <w:tcPr>
            <w:tcW w:w="2127" w:type="pct"/>
            <w:gridSpan w:val="2"/>
            <w:shd w:val="clear" w:color="auto" w:fill="2A5DA8"/>
            <w:hideMark/>
          </w:tcPr>
          <w:p w:rsidR="00EE08DB" w:rsidRPr="00CB2C7C" w:rsidRDefault="00EE08DB" w:rsidP="0044556E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7C">
              <w:rPr>
                <w:rFonts w:ascii="Times New Roman" w:eastAsia="Times New Roman" w:hAnsi="Times New Roman" w:cs="Times New Roman"/>
                <w:bCs w:val="0"/>
                <w:kern w:val="24"/>
                <w:lang w:eastAsia="ru-RU"/>
              </w:rPr>
              <w:t>201</w:t>
            </w:r>
            <w:r w:rsidR="0044556E" w:rsidRPr="00CB2C7C">
              <w:rPr>
                <w:rFonts w:ascii="Times New Roman" w:eastAsia="Times New Roman" w:hAnsi="Times New Roman" w:cs="Times New Roman"/>
                <w:bCs w:val="0"/>
                <w:kern w:val="24"/>
                <w:lang w:eastAsia="ru-RU"/>
              </w:rPr>
              <w:t>8</w:t>
            </w:r>
            <w:r w:rsidRPr="00CB2C7C">
              <w:rPr>
                <w:rFonts w:ascii="Times New Roman" w:eastAsia="Times New Roman" w:hAnsi="Times New Roman" w:cs="Times New Roman"/>
                <w:bCs w:val="0"/>
                <w:kern w:val="24"/>
                <w:lang w:eastAsia="ru-RU"/>
              </w:rPr>
              <w:t xml:space="preserve"> </w:t>
            </w:r>
          </w:p>
        </w:tc>
        <w:tc>
          <w:tcPr>
            <w:tcW w:w="1250" w:type="pct"/>
            <w:vMerge w:val="restart"/>
            <w:shd w:val="clear" w:color="auto" w:fill="2A5DA8"/>
            <w:hideMark/>
          </w:tcPr>
          <w:p w:rsidR="00EE08DB" w:rsidRPr="00CB2C7C" w:rsidRDefault="00EE08DB" w:rsidP="00CC15CC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7C">
              <w:rPr>
                <w:rFonts w:ascii="Times New Roman" w:eastAsia="Times New Roman" w:hAnsi="Times New Roman" w:cs="Times New Roman"/>
                <w:bCs w:val="0"/>
                <w:kern w:val="24"/>
                <w:lang w:eastAsia="ru-RU"/>
              </w:rPr>
              <w:t>% исполнения</w:t>
            </w:r>
          </w:p>
        </w:tc>
      </w:tr>
      <w:tr w:rsidR="00EE08DB" w:rsidRPr="00902D6B" w:rsidTr="006B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vMerge/>
          </w:tcPr>
          <w:p w:rsidR="00EE08DB" w:rsidRPr="0022465B" w:rsidRDefault="00EE08DB" w:rsidP="00CC15C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highlight w:val="yellow"/>
                <w:lang w:eastAsia="ru-RU"/>
              </w:rPr>
            </w:pPr>
          </w:p>
        </w:tc>
        <w:tc>
          <w:tcPr>
            <w:tcW w:w="1097" w:type="pct"/>
          </w:tcPr>
          <w:p w:rsidR="00EE08DB" w:rsidRPr="0022465B" w:rsidRDefault="00EE08DB" w:rsidP="00CC15C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(план)</w:t>
            </w:r>
          </w:p>
        </w:tc>
        <w:tc>
          <w:tcPr>
            <w:tcW w:w="1030" w:type="pct"/>
          </w:tcPr>
          <w:p w:rsidR="00EE08DB" w:rsidRPr="0022465B" w:rsidRDefault="00EE08DB" w:rsidP="00CC15C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(факт)</w:t>
            </w:r>
          </w:p>
        </w:tc>
        <w:tc>
          <w:tcPr>
            <w:tcW w:w="1250" w:type="pct"/>
            <w:vMerge/>
          </w:tcPr>
          <w:p w:rsidR="00EE08DB" w:rsidRPr="0022465B" w:rsidRDefault="00EE08DB" w:rsidP="00CC15C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highlight w:val="yellow"/>
                <w:lang w:eastAsia="ru-RU"/>
              </w:rPr>
            </w:pPr>
          </w:p>
        </w:tc>
      </w:tr>
      <w:tr w:rsidR="00EE08DB" w:rsidRPr="00902D6B" w:rsidTr="00CB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shd w:val="clear" w:color="auto" w:fill="2A5DA8"/>
            <w:hideMark/>
          </w:tcPr>
          <w:p w:rsidR="00EE08DB" w:rsidRPr="00CB2C7C" w:rsidRDefault="00EE08DB" w:rsidP="00CC15CC">
            <w:pPr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7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Доходы собственные</w:t>
            </w:r>
          </w:p>
        </w:tc>
        <w:tc>
          <w:tcPr>
            <w:tcW w:w="1097" w:type="pct"/>
            <w:hideMark/>
          </w:tcPr>
          <w:p w:rsidR="00EE08DB" w:rsidRPr="0022465B" w:rsidRDefault="003A4A66" w:rsidP="00CC15C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6 518</w:t>
            </w:r>
          </w:p>
        </w:tc>
        <w:tc>
          <w:tcPr>
            <w:tcW w:w="1030" w:type="pct"/>
            <w:hideMark/>
          </w:tcPr>
          <w:p w:rsidR="00EE08DB" w:rsidRPr="0022465B" w:rsidRDefault="003A4A66" w:rsidP="00CC15C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6 599</w:t>
            </w:r>
          </w:p>
        </w:tc>
        <w:tc>
          <w:tcPr>
            <w:tcW w:w="1250" w:type="pct"/>
            <w:hideMark/>
          </w:tcPr>
          <w:p w:rsidR="00EE08DB" w:rsidRPr="0022465B" w:rsidRDefault="003A4A66" w:rsidP="00CC15C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101,2</w:t>
            </w:r>
          </w:p>
        </w:tc>
      </w:tr>
      <w:tr w:rsidR="00EE08DB" w:rsidRPr="00902D6B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shd w:val="clear" w:color="auto" w:fill="2A5DA8"/>
            <w:hideMark/>
          </w:tcPr>
          <w:p w:rsidR="00EE08DB" w:rsidRPr="00CB2C7C" w:rsidRDefault="00EE08DB" w:rsidP="00CC15CC">
            <w:pPr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7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Безвозмездные перечисления</w:t>
            </w:r>
          </w:p>
        </w:tc>
        <w:tc>
          <w:tcPr>
            <w:tcW w:w="1097" w:type="pct"/>
            <w:hideMark/>
          </w:tcPr>
          <w:p w:rsidR="00EE08DB" w:rsidRPr="0022465B" w:rsidRDefault="003A4A66" w:rsidP="00CC15C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6 749</w:t>
            </w:r>
          </w:p>
        </w:tc>
        <w:tc>
          <w:tcPr>
            <w:tcW w:w="1030" w:type="pct"/>
            <w:hideMark/>
          </w:tcPr>
          <w:p w:rsidR="00EE08DB" w:rsidRPr="0022465B" w:rsidRDefault="003A4A66" w:rsidP="00CC15C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6 356</w:t>
            </w:r>
          </w:p>
        </w:tc>
        <w:tc>
          <w:tcPr>
            <w:tcW w:w="1250" w:type="pct"/>
            <w:hideMark/>
          </w:tcPr>
          <w:p w:rsidR="00EE08DB" w:rsidRPr="0022465B" w:rsidRDefault="003A4A66" w:rsidP="003A4A66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94,2</w:t>
            </w:r>
          </w:p>
        </w:tc>
      </w:tr>
      <w:tr w:rsidR="00EE08DB" w:rsidRPr="00902D6B" w:rsidTr="00CB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shd w:val="clear" w:color="auto" w:fill="2A5DA8"/>
            <w:hideMark/>
          </w:tcPr>
          <w:p w:rsidR="00EE08DB" w:rsidRPr="00CB2C7C" w:rsidRDefault="00EE08DB" w:rsidP="00CC15CC">
            <w:pPr>
              <w:ind w:left="130" w:hanging="13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7C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lang w:eastAsia="ru-RU"/>
              </w:rPr>
              <w:t>Доходы всего</w:t>
            </w:r>
          </w:p>
        </w:tc>
        <w:tc>
          <w:tcPr>
            <w:tcW w:w="1097" w:type="pct"/>
            <w:hideMark/>
          </w:tcPr>
          <w:p w:rsidR="00EE08DB" w:rsidRPr="0022465B" w:rsidRDefault="00A80D6F" w:rsidP="00A80D6F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13 267 </w:t>
            </w:r>
          </w:p>
        </w:tc>
        <w:tc>
          <w:tcPr>
            <w:tcW w:w="1030" w:type="pct"/>
            <w:hideMark/>
          </w:tcPr>
          <w:p w:rsidR="00EE08DB" w:rsidRPr="0022465B" w:rsidRDefault="00A80D6F" w:rsidP="00CC15C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12 955</w:t>
            </w:r>
          </w:p>
        </w:tc>
        <w:tc>
          <w:tcPr>
            <w:tcW w:w="1250" w:type="pct"/>
            <w:hideMark/>
          </w:tcPr>
          <w:p w:rsidR="00EE08DB" w:rsidRPr="0022465B" w:rsidRDefault="00A80D6F" w:rsidP="00CC15C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97,6</w:t>
            </w:r>
          </w:p>
        </w:tc>
      </w:tr>
      <w:tr w:rsidR="00EE08DB" w:rsidRPr="00902D6B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shd w:val="clear" w:color="auto" w:fill="2A5DA8"/>
            <w:hideMark/>
          </w:tcPr>
          <w:p w:rsidR="00EE08DB" w:rsidRPr="00CB2C7C" w:rsidRDefault="00EE08DB" w:rsidP="00CC15CC">
            <w:pPr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7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Расходы за счет собственных средств бюджета</w:t>
            </w:r>
          </w:p>
        </w:tc>
        <w:tc>
          <w:tcPr>
            <w:tcW w:w="1097" w:type="pct"/>
            <w:hideMark/>
          </w:tcPr>
          <w:p w:rsidR="00EE08DB" w:rsidRPr="0022465B" w:rsidRDefault="003A4A66" w:rsidP="00CC15C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7 177</w:t>
            </w:r>
          </w:p>
        </w:tc>
        <w:tc>
          <w:tcPr>
            <w:tcW w:w="1030" w:type="pct"/>
            <w:hideMark/>
          </w:tcPr>
          <w:p w:rsidR="00EE08DB" w:rsidRPr="0022465B" w:rsidRDefault="003A4A66" w:rsidP="00CC15C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7 029</w:t>
            </w:r>
          </w:p>
        </w:tc>
        <w:tc>
          <w:tcPr>
            <w:tcW w:w="1250" w:type="pct"/>
            <w:hideMark/>
          </w:tcPr>
          <w:p w:rsidR="00EE08DB" w:rsidRPr="0022465B" w:rsidRDefault="003A4A66" w:rsidP="00CC15C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97,9</w:t>
            </w:r>
          </w:p>
        </w:tc>
      </w:tr>
      <w:tr w:rsidR="00EE08DB" w:rsidRPr="00902D6B" w:rsidTr="00CB2C7C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shd w:val="clear" w:color="auto" w:fill="2A5DA8"/>
            <w:hideMark/>
          </w:tcPr>
          <w:p w:rsidR="00EE08DB" w:rsidRPr="00CB2C7C" w:rsidRDefault="00EE08DB" w:rsidP="00CC15CC">
            <w:pPr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7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Расходы за счет средств вышестоящих бюджетов</w:t>
            </w:r>
          </w:p>
        </w:tc>
        <w:tc>
          <w:tcPr>
            <w:tcW w:w="1097" w:type="pct"/>
            <w:hideMark/>
          </w:tcPr>
          <w:p w:rsidR="00EE08DB" w:rsidRPr="0022465B" w:rsidRDefault="00A80D6F" w:rsidP="00CC15C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6 571</w:t>
            </w:r>
          </w:p>
        </w:tc>
        <w:tc>
          <w:tcPr>
            <w:tcW w:w="1030" w:type="pct"/>
            <w:hideMark/>
          </w:tcPr>
          <w:p w:rsidR="00EE08DB" w:rsidRPr="0022465B" w:rsidRDefault="00A80D6F" w:rsidP="00A80D6F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6 150</w:t>
            </w:r>
          </w:p>
        </w:tc>
        <w:tc>
          <w:tcPr>
            <w:tcW w:w="1250" w:type="pct"/>
            <w:hideMark/>
          </w:tcPr>
          <w:p w:rsidR="00EE08DB" w:rsidRPr="0022465B" w:rsidRDefault="00A80D6F" w:rsidP="00CC15C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93,6</w:t>
            </w:r>
          </w:p>
        </w:tc>
      </w:tr>
      <w:tr w:rsidR="00EE08DB" w:rsidRPr="00902D6B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shd w:val="clear" w:color="auto" w:fill="2A5DA8"/>
            <w:hideMark/>
          </w:tcPr>
          <w:p w:rsidR="00EE08DB" w:rsidRPr="00CB2C7C" w:rsidRDefault="00EE08DB" w:rsidP="00CC15CC">
            <w:pPr>
              <w:ind w:left="130" w:hanging="13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7C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lang w:eastAsia="ru-RU"/>
              </w:rPr>
              <w:t>Расходы всего</w:t>
            </w:r>
          </w:p>
        </w:tc>
        <w:tc>
          <w:tcPr>
            <w:tcW w:w="1097" w:type="pct"/>
            <w:hideMark/>
          </w:tcPr>
          <w:p w:rsidR="00EE08DB" w:rsidRPr="0022465B" w:rsidRDefault="00A80D6F" w:rsidP="00CC15C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13 748</w:t>
            </w:r>
          </w:p>
        </w:tc>
        <w:tc>
          <w:tcPr>
            <w:tcW w:w="1030" w:type="pct"/>
            <w:hideMark/>
          </w:tcPr>
          <w:p w:rsidR="00EE08DB" w:rsidRPr="0022465B" w:rsidRDefault="00A80D6F" w:rsidP="003A4A66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13 17</w:t>
            </w:r>
            <w:r w:rsidR="003A4A66" w:rsidRPr="00224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9</w:t>
            </w:r>
          </w:p>
        </w:tc>
        <w:tc>
          <w:tcPr>
            <w:tcW w:w="1250" w:type="pct"/>
            <w:hideMark/>
          </w:tcPr>
          <w:p w:rsidR="00EE08DB" w:rsidRPr="0022465B" w:rsidRDefault="00A80D6F" w:rsidP="00CC15C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EE08DB" w:rsidRPr="00902D6B" w:rsidTr="00CB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shd w:val="clear" w:color="auto" w:fill="2A5DA8"/>
            <w:hideMark/>
          </w:tcPr>
          <w:p w:rsidR="00EE08DB" w:rsidRPr="00CB2C7C" w:rsidRDefault="00EE08DB" w:rsidP="00CC15CC">
            <w:pPr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7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Дефицит</w:t>
            </w:r>
            <w:proofErr w:type="gramStart"/>
            <w:r w:rsidRPr="00CB2C7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(-) / </w:t>
            </w:r>
            <w:proofErr w:type="gramEnd"/>
            <w:r w:rsidRPr="00CB2C7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профицит (+)</w:t>
            </w:r>
          </w:p>
        </w:tc>
        <w:tc>
          <w:tcPr>
            <w:tcW w:w="1097" w:type="pct"/>
            <w:hideMark/>
          </w:tcPr>
          <w:p w:rsidR="00EE08DB" w:rsidRPr="0022465B" w:rsidRDefault="00EE08DB" w:rsidP="003A4A6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</w:t>
            </w:r>
            <w:r w:rsidR="00A80D6F"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48</w:t>
            </w:r>
            <w:r w:rsidR="003A4A66"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1030" w:type="pct"/>
            <w:hideMark/>
          </w:tcPr>
          <w:p w:rsidR="00EE08DB" w:rsidRPr="0022465B" w:rsidRDefault="00EE08DB" w:rsidP="003A4A6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</w:t>
            </w:r>
            <w:r w:rsidR="00A80D6F"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22</w:t>
            </w:r>
            <w:r w:rsidR="003A4A66"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1250" w:type="pct"/>
            <w:hideMark/>
          </w:tcPr>
          <w:p w:rsidR="00EE08DB" w:rsidRPr="0022465B" w:rsidRDefault="00EE08DB" w:rsidP="003A4A6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</w:t>
            </w:r>
            <w:r w:rsidR="00A80D6F"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</w:t>
            </w:r>
            <w:r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,</w:t>
            </w:r>
            <w:r w:rsidR="003A4A66" w:rsidRPr="0022465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</w:t>
            </w:r>
          </w:p>
        </w:tc>
      </w:tr>
    </w:tbl>
    <w:p w:rsidR="00EE08DB" w:rsidRDefault="00F250AD" w:rsidP="00F25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C393D" wp14:editId="4CFC8465">
            <wp:extent cx="5974080" cy="374142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07D3" w:rsidRDefault="00E807D3" w:rsidP="00EE08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0961" w:rsidRPr="00740961" w:rsidRDefault="003C3A39" w:rsidP="003C3A39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Собственные д</w:t>
      </w:r>
      <w:r w:rsidR="00740961">
        <w:rPr>
          <w:rFonts w:ascii="Times New Roman" w:hAnsi="Times New Roman" w:cs="Times New Roman"/>
          <w:sz w:val="24"/>
          <w:szCs w:val="24"/>
        </w:rPr>
        <w:t>оходы</w:t>
      </w:r>
      <w:r w:rsidR="00740961" w:rsidRPr="0022465B">
        <w:rPr>
          <w:rFonts w:ascii="Times New Roman" w:hAnsi="Times New Roman" w:cs="Times New Roman"/>
          <w:sz w:val="24"/>
          <w:szCs w:val="24"/>
        </w:rPr>
        <w:t xml:space="preserve"> бюджета городского округа за  2018 года составили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961" w:rsidRPr="00740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6 598 952 </w:t>
      </w:r>
      <w:proofErr w:type="spellStart"/>
      <w:r w:rsidR="00740961" w:rsidRPr="00740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740961" w:rsidRPr="00740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740961" w:rsidRPr="00740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="00740961" w:rsidRPr="00740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40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40961" w:rsidRPr="0022465B">
        <w:rPr>
          <w:rFonts w:ascii="Times New Roman" w:hAnsi="Times New Roman" w:cs="Times New Roman"/>
          <w:sz w:val="24"/>
          <w:szCs w:val="24"/>
        </w:rPr>
        <w:t xml:space="preserve">или </w:t>
      </w:r>
      <w:r w:rsidR="00740961">
        <w:rPr>
          <w:rFonts w:ascii="Times New Roman" w:hAnsi="Times New Roman" w:cs="Times New Roman"/>
          <w:sz w:val="24"/>
          <w:szCs w:val="24"/>
        </w:rPr>
        <w:t>101,2</w:t>
      </w:r>
      <w:r w:rsidR="00740961" w:rsidRPr="0022465B">
        <w:rPr>
          <w:rFonts w:ascii="Times New Roman" w:hAnsi="Times New Roman" w:cs="Times New Roman"/>
          <w:sz w:val="24"/>
          <w:szCs w:val="24"/>
        </w:rPr>
        <w:t>% к утвержденному плану года</w:t>
      </w:r>
      <w:r w:rsidR="00740961">
        <w:rPr>
          <w:rFonts w:ascii="Times New Roman" w:hAnsi="Times New Roman" w:cs="Times New Roman"/>
          <w:sz w:val="24"/>
          <w:szCs w:val="24"/>
        </w:rPr>
        <w:t>.</w:t>
      </w:r>
    </w:p>
    <w:p w:rsidR="005529D0" w:rsidRDefault="005529D0" w:rsidP="00EE08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0240" cy="3497580"/>
            <wp:effectExtent l="0" t="0" r="381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08DB" w:rsidRPr="00902D6B" w:rsidRDefault="00EE08DB" w:rsidP="00286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A5A6C" w:rsidRPr="0022465B" w:rsidRDefault="00EA5A6C" w:rsidP="00692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5B">
        <w:rPr>
          <w:rFonts w:ascii="Times New Roman" w:hAnsi="Times New Roman" w:cs="Times New Roman"/>
          <w:sz w:val="24"/>
          <w:szCs w:val="24"/>
        </w:rPr>
        <w:t>Расходы бюджета городского округа за  201</w:t>
      </w:r>
      <w:r w:rsidR="0022465B" w:rsidRPr="0022465B">
        <w:rPr>
          <w:rFonts w:ascii="Times New Roman" w:hAnsi="Times New Roman" w:cs="Times New Roman"/>
          <w:sz w:val="24"/>
          <w:szCs w:val="24"/>
        </w:rPr>
        <w:t>8</w:t>
      </w:r>
      <w:r w:rsidRPr="0022465B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22465B" w:rsidRPr="0022465B">
        <w:rPr>
          <w:rFonts w:ascii="Times New Roman" w:hAnsi="Times New Roman" w:cs="Times New Roman"/>
          <w:sz w:val="24"/>
          <w:szCs w:val="24"/>
        </w:rPr>
        <w:t>13 178</w:t>
      </w:r>
      <w:r w:rsidR="0022465B">
        <w:rPr>
          <w:rFonts w:ascii="Times New Roman" w:hAnsi="Times New Roman" w:cs="Times New Roman"/>
          <w:sz w:val="24"/>
          <w:szCs w:val="24"/>
        </w:rPr>
        <w:t> </w:t>
      </w:r>
      <w:r w:rsidR="0022465B" w:rsidRPr="0022465B">
        <w:rPr>
          <w:rFonts w:ascii="Times New Roman" w:hAnsi="Times New Roman" w:cs="Times New Roman"/>
          <w:sz w:val="24"/>
          <w:szCs w:val="24"/>
        </w:rPr>
        <w:t xml:space="preserve">988 </w:t>
      </w:r>
      <w:proofErr w:type="spellStart"/>
      <w:r w:rsidR="002246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2465B">
        <w:rPr>
          <w:rFonts w:ascii="Times New Roman" w:hAnsi="Times New Roman" w:cs="Times New Roman"/>
          <w:sz w:val="24"/>
          <w:szCs w:val="24"/>
        </w:rPr>
        <w:t>.</w:t>
      </w:r>
      <w:r w:rsidRPr="002246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465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2465B">
        <w:rPr>
          <w:rFonts w:ascii="Times New Roman" w:hAnsi="Times New Roman" w:cs="Times New Roman"/>
          <w:sz w:val="24"/>
          <w:szCs w:val="24"/>
        </w:rPr>
        <w:t>., или 9</w:t>
      </w:r>
      <w:r w:rsidR="0022465B">
        <w:rPr>
          <w:rFonts w:ascii="Times New Roman" w:hAnsi="Times New Roman" w:cs="Times New Roman"/>
          <w:sz w:val="24"/>
          <w:szCs w:val="24"/>
        </w:rPr>
        <w:t>5</w:t>
      </w:r>
      <w:r w:rsidRPr="0022465B">
        <w:rPr>
          <w:rFonts w:ascii="Times New Roman" w:hAnsi="Times New Roman" w:cs="Times New Roman"/>
          <w:sz w:val="24"/>
          <w:szCs w:val="24"/>
        </w:rPr>
        <w:t>,</w:t>
      </w:r>
      <w:r w:rsidR="0022465B">
        <w:rPr>
          <w:rFonts w:ascii="Times New Roman" w:hAnsi="Times New Roman" w:cs="Times New Roman"/>
          <w:sz w:val="24"/>
          <w:szCs w:val="24"/>
        </w:rPr>
        <w:t>9</w:t>
      </w:r>
      <w:r w:rsidRPr="0022465B">
        <w:rPr>
          <w:rFonts w:ascii="Times New Roman" w:hAnsi="Times New Roman" w:cs="Times New Roman"/>
          <w:sz w:val="24"/>
          <w:szCs w:val="24"/>
        </w:rPr>
        <w:t xml:space="preserve"> % к утвержденному плану года.</w:t>
      </w:r>
    </w:p>
    <w:p w:rsidR="002E2F20" w:rsidRPr="0040241E" w:rsidRDefault="002E2F20" w:rsidP="00593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ru-RU"/>
        </w:rPr>
      </w:pPr>
      <w:r w:rsidRPr="002E2F20">
        <w:rPr>
          <w:rFonts w:ascii="Times New Roman" w:hAnsi="Times New Roman" w:cs="Times New Roman"/>
          <w:sz w:val="24"/>
          <w:szCs w:val="24"/>
        </w:rPr>
        <w:t>Бюджетом городского округа на 2018 год предусмотрено финансирование 27 муниципальных программ на общую сумму 12 565 139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DCF" w:rsidRPr="003A5720" w:rsidRDefault="005F6DCF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 w:rsidRPr="003A5720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t xml:space="preserve">ИНВЕСТИЦИИ </w:t>
      </w:r>
    </w:p>
    <w:p w:rsidR="003A4A66" w:rsidRPr="003A4A66" w:rsidRDefault="003A4A66" w:rsidP="003A4A66">
      <w:pPr>
        <w:pStyle w:val="ac"/>
        <w:spacing w:line="276" w:lineRule="auto"/>
        <w:ind w:firstLine="567"/>
        <w:jc w:val="both"/>
        <w:rPr>
          <w:b w:val="0"/>
          <w:szCs w:val="24"/>
        </w:rPr>
      </w:pPr>
      <w:r w:rsidRPr="003A4A66">
        <w:rPr>
          <w:b w:val="0"/>
          <w:szCs w:val="24"/>
        </w:rPr>
        <w:t>В январе-сентябре 2018 года на развитие экономики и социальной сферы г. Тольятти использовано 15,8 млрд. рублей инвестиций в основной капитал, что на 3,5 процента больше, чем за январь-сентябрь прошлого года. За отчетный период объем инвестиций по г. Тольятти составил 13,0 процента от инвестиций в основной капитал по Самарской области</w:t>
      </w:r>
      <w:r w:rsidR="00977713" w:rsidRPr="00977713">
        <w:rPr>
          <w:b w:val="0"/>
          <w:szCs w:val="24"/>
        </w:rPr>
        <w:t xml:space="preserve"> [4]</w:t>
      </w:r>
      <w:r w:rsidRPr="003A4A66">
        <w:rPr>
          <w:b w:val="0"/>
          <w:szCs w:val="24"/>
        </w:rPr>
        <w:t>.</w:t>
      </w:r>
    </w:p>
    <w:p w:rsidR="003A4A66" w:rsidRDefault="003A4A66" w:rsidP="00EA1A99">
      <w:pPr>
        <w:pStyle w:val="ac"/>
        <w:spacing w:line="276" w:lineRule="auto"/>
        <w:ind w:firstLine="567"/>
        <w:jc w:val="both"/>
        <w:rPr>
          <w:b w:val="0"/>
          <w:sz w:val="22"/>
          <w:szCs w:val="22"/>
          <w:highlight w:val="yellow"/>
        </w:rPr>
      </w:pPr>
    </w:p>
    <w:p w:rsidR="00806657" w:rsidRDefault="00430273" w:rsidP="00507DD0">
      <w:pPr>
        <w:pStyle w:val="a8"/>
        <w:spacing w:before="0"/>
        <w:jc w:val="center"/>
        <w:rPr>
          <w:b/>
          <w:sz w:val="24"/>
        </w:rPr>
      </w:pPr>
      <w:r w:rsidRPr="00474785">
        <w:rPr>
          <w:b/>
          <w:sz w:val="24"/>
        </w:rPr>
        <w:t>Инвестиции в основной капитал</w:t>
      </w:r>
      <w:r w:rsidR="00507DD0">
        <w:rPr>
          <w:b/>
          <w:sz w:val="24"/>
        </w:rPr>
        <w:t xml:space="preserve"> </w:t>
      </w:r>
      <w:r w:rsidRPr="00474785">
        <w:rPr>
          <w:b/>
          <w:sz w:val="24"/>
        </w:rPr>
        <w:t>по отдельным чистым видам экономической деятельности</w:t>
      </w:r>
      <w:r w:rsidR="00507DD0">
        <w:rPr>
          <w:b/>
          <w:sz w:val="24"/>
        </w:rPr>
        <w:t xml:space="preserve"> </w:t>
      </w:r>
      <w:r w:rsidR="00806657" w:rsidRPr="003A4A66">
        <w:rPr>
          <w:b/>
          <w:sz w:val="24"/>
        </w:rPr>
        <w:t xml:space="preserve"> </w:t>
      </w:r>
      <w:r w:rsidR="00FE4719" w:rsidRPr="003A4A66">
        <w:rPr>
          <w:b/>
          <w:sz w:val="24"/>
        </w:rPr>
        <w:t xml:space="preserve"> </w:t>
      </w:r>
      <w:r w:rsidR="00806657" w:rsidRPr="003A4A66">
        <w:rPr>
          <w:b/>
          <w:sz w:val="24"/>
        </w:rPr>
        <w:t xml:space="preserve">в </w:t>
      </w:r>
      <w:proofErr w:type="gramStart"/>
      <w:r>
        <w:rPr>
          <w:b/>
          <w:sz w:val="24"/>
        </w:rPr>
        <w:t>январе</w:t>
      </w:r>
      <w:r w:rsidR="003640DD">
        <w:rPr>
          <w:b/>
          <w:sz w:val="24"/>
        </w:rPr>
        <w:t>-</w:t>
      </w:r>
      <w:r>
        <w:rPr>
          <w:b/>
          <w:sz w:val="24"/>
        </w:rPr>
        <w:t>сентября</w:t>
      </w:r>
      <w:proofErr w:type="gramEnd"/>
      <w:r>
        <w:rPr>
          <w:b/>
          <w:sz w:val="24"/>
        </w:rPr>
        <w:t xml:space="preserve"> </w:t>
      </w:r>
      <w:r w:rsidR="00806657" w:rsidRPr="003A4A66">
        <w:rPr>
          <w:b/>
          <w:sz w:val="24"/>
        </w:rPr>
        <w:t>201</w:t>
      </w:r>
      <w:r w:rsidR="003A4A66" w:rsidRPr="003A4A66">
        <w:rPr>
          <w:b/>
          <w:sz w:val="24"/>
        </w:rPr>
        <w:t>8</w:t>
      </w:r>
      <w:r w:rsidR="00806657" w:rsidRPr="003A4A66">
        <w:rPr>
          <w:b/>
          <w:sz w:val="24"/>
        </w:rPr>
        <w:t xml:space="preserve"> год</w:t>
      </w:r>
      <w:r>
        <w:rPr>
          <w:b/>
          <w:sz w:val="24"/>
        </w:rPr>
        <w:t>а</w:t>
      </w:r>
    </w:p>
    <w:p w:rsidR="00530004" w:rsidRDefault="00530004" w:rsidP="00507DD0">
      <w:pPr>
        <w:pStyle w:val="a8"/>
        <w:spacing w:before="0"/>
        <w:jc w:val="center"/>
        <w:rPr>
          <w:b/>
          <w:sz w:val="24"/>
        </w:rPr>
      </w:pPr>
    </w:p>
    <w:tbl>
      <w:tblPr>
        <w:tblStyle w:val="3-1"/>
        <w:tblW w:w="9356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1559"/>
      </w:tblGrid>
      <w:tr w:rsidR="00430273" w:rsidRPr="00430273" w:rsidTr="00CB2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 w:val="restart"/>
            <w:shd w:val="clear" w:color="auto" w:fill="2A5DA8"/>
          </w:tcPr>
          <w:p w:rsidR="00430273" w:rsidRPr="00CB2C7C" w:rsidRDefault="00430273" w:rsidP="00430273">
            <w:pPr>
              <w:pStyle w:val="a8"/>
              <w:jc w:val="left"/>
              <w:rPr>
                <w:b w:val="0"/>
                <w:smallCap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2A5DA8"/>
          </w:tcPr>
          <w:p w:rsidR="00430273" w:rsidRPr="00CB2C7C" w:rsidRDefault="00430273" w:rsidP="00245BAA">
            <w:pPr>
              <w:pStyle w:val="af7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 w:val="0"/>
                <w:color w:val="FFFFFF" w:themeColor="background1"/>
                <w:sz w:val="24"/>
                <w:szCs w:val="24"/>
              </w:rPr>
            </w:pPr>
            <w:r w:rsidRPr="00CB2C7C">
              <w:rPr>
                <w:rFonts w:ascii="Times New Roman" w:hAnsi="Times New Roman"/>
                <w:b/>
                <w:bCs w:val="0"/>
                <w:color w:val="FFFFFF" w:themeColor="background1"/>
                <w:sz w:val="24"/>
                <w:szCs w:val="24"/>
              </w:rPr>
              <w:t>Январь-сентябрь 2018 г.</w:t>
            </w:r>
          </w:p>
        </w:tc>
      </w:tr>
      <w:tr w:rsidR="00430273" w:rsidRPr="00430273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/>
          </w:tcPr>
          <w:p w:rsidR="00430273" w:rsidRPr="00430273" w:rsidRDefault="00430273" w:rsidP="00430273">
            <w:pPr>
              <w:pStyle w:val="a8"/>
              <w:jc w:val="left"/>
              <w:rPr>
                <w:b w:val="0"/>
                <w:smallCaps/>
                <w:sz w:val="22"/>
                <w:szCs w:val="22"/>
              </w:rPr>
            </w:pPr>
          </w:p>
        </w:tc>
        <w:tc>
          <w:tcPr>
            <w:tcW w:w="2127" w:type="dxa"/>
          </w:tcPr>
          <w:p w:rsidR="00430273" w:rsidRPr="00430273" w:rsidRDefault="00430273" w:rsidP="00245BAA">
            <w:pPr>
              <w:pStyle w:val="af7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2"/>
              </w:rPr>
            </w:pPr>
            <w:r w:rsidRPr="00430273">
              <w:rPr>
                <w:rFonts w:ascii="Times New Roman" w:hAnsi="Times New Roman"/>
                <w:b w:val="0"/>
                <w:bCs/>
                <w:szCs w:val="22"/>
              </w:rPr>
              <w:t>млн. рублей</w:t>
            </w:r>
          </w:p>
        </w:tc>
        <w:tc>
          <w:tcPr>
            <w:tcW w:w="1559" w:type="dxa"/>
          </w:tcPr>
          <w:p w:rsidR="00430273" w:rsidRPr="00430273" w:rsidRDefault="00430273" w:rsidP="00245BAA">
            <w:pPr>
              <w:pStyle w:val="af7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2"/>
              </w:rPr>
            </w:pPr>
            <w:proofErr w:type="gramStart"/>
            <w:r w:rsidRPr="00430273">
              <w:rPr>
                <w:rFonts w:ascii="Times New Roman" w:hAnsi="Times New Roman"/>
                <w:b w:val="0"/>
                <w:bCs/>
                <w:szCs w:val="22"/>
              </w:rPr>
              <w:t>в</w:t>
            </w:r>
            <w:proofErr w:type="gramEnd"/>
            <w:r w:rsidRPr="00430273">
              <w:rPr>
                <w:rFonts w:ascii="Times New Roman" w:hAnsi="Times New Roman"/>
                <w:b w:val="0"/>
                <w:bCs/>
                <w:szCs w:val="22"/>
              </w:rPr>
              <w:t xml:space="preserve"> % к итогу</w:t>
            </w:r>
          </w:p>
        </w:tc>
      </w:tr>
      <w:tr w:rsidR="00430273" w:rsidRPr="00430273" w:rsidTr="00CB2C7C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430273" w:rsidRDefault="00430273" w:rsidP="00430273">
            <w:pPr>
              <w:spacing w:before="40"/>
              <w:rPr>
                <w:rFonts w:ascii="Times New Roman" w:hAnsi="Times New Roman" w:cs="Times New Roman"/>
                <w:b w:val="0"/>
              </w:rPr>
            </w:pPr>
            <w:r w:rsidRPr="00430273">
              <w:rPr>
                <w:rFonts w:ascii="Times New Roman" w:hAnsi="Times New Roman" w:cs="Times New Roman"/>
                <w:b w:val="0"/>
              </w:rPr>
              <w:t>Инвестиции в основной капитал</w:t>
            </w:r>
          </w:p>
        </w:tc>
        <w:tc>
          <w:tcPr>
            <w:tcW w:w="2127" w:type="dxa"/>
          </w:tcPr>
          <w:p w:rsidR="00430273" w:rsidRPr="00430273" w:rsidRDefault="00430273" w:rsidP="003640DD">
            <w:pPr>
              <w:spacing w:before="6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0273">
              <w:rPr>
                <w:rFonts w:ascii="Times New Roman" w:hAnsi="Times New Roman" w:cs="Times New Roman"/>
                <w:b/>
              </w:rPr>
              <w:t>15801,7</w:t>
            </w:r>
          </w:p>
        </w:tc>
        <w:tc>
          <w:tcPr>
            <w:tcW w:w="1559" w:type="dxa"/>
          </w:tcPr>
          <w:p w:rsidR="00430273" w:rsidRPr="00430273" w:rsidRDefault="00430273" w:rsidP="003640DD">
            <w:pPr>
              <w:spacing w:before="40"/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7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430273" w:rsidRPr="003640DD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в том числе: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0273" w:rsidRPr="003640DD" w:rsidTr="00CB2C7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Обрабатывающие производства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11729,3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74,2</w:t>
            </w:r>
          </w:p>
        </w:tc>
      </w:tr>
      <w:tr w:rsidR="00430273" w:rsidRPr="003640DD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601,6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</w:tr>
      <w:tr w:rsidR="00430273" w:rsidRPr="003640DD" w:rsidTr="00CB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387,7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30273" w:rsidRPr="003640DD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Строительство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29,9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</w:tr>
      <w:tr w:rsidR="00430273" w:rsidRPr="003640DD" w:rsidTr="00CB2C7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1062,9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6,7</w:t>
            </w:r>
          </w:p>
        </w:tc>
      </w:tr>
      <w:tr w:rsidR="00430273" w:rsidRPr="003640DD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Транспортировка и хранение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190,7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30273" w:rsidRPr="003640DD" w:rsidTr="00CB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56,4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</w:tr>
      <w:tr w:rsidR="00430273" w:rsidRPr="003640DD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255,9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1,6</w:t>
            </w:r>
          </w:p>
        </w:tc>
      </w:tr>
      <w:tr w:rsidR="00430273" w:rsidRPr="003640DD" w:rsidTr="00CB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Деятельность финансовая и страховая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28,1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</w:tr>
      <w:tr w:rsidR="00430273" w:rsidRPr="003640DD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972,0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</w:tr>
      <w:tr w:rsidR="00430273" w:rsidRPr="003640DD" w:rsidTr="00CB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</w:tr>
      <w:tr w:rsidR="00430273" w:rsidRPr="003640DD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30273" w:rsidRPr="003640DD" w:rsidTr="00CB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88,2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</w:tr>
      <w:tr w:rsidR="00430273" w:rsidRPr="003640DD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Образование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162,6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</w:tr>
      <w:tr w:rsidR="00430273" w:rsidRPr="003640DD" w:rsidTr="00CB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430273" w:rsidRPr="003640DD" w:rsidTr="00CB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115,8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0,7</w:t>
            </w:r>
          </w:p>
        </w:tc>
      </w:tr>
      <w:tr w:rsidR="00430273" w:rsidRPr="003640DD" w:rsidTr="00CB2C7C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2A5DA8"/>
          </w:tcPr>
          <w:p w:rsidR="00430273" w:rsidRPr="003640DD" w:rsidRDefault="00430273" w:rsidP="003640DD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Предоставление прочих видов услуг</w:t>
            </w:r>
          </w:p>
        </w:tc>
        <w:tc>
          <w:tcPr>
            <w:tcW w:w="2127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21,8</w:t>
            </w:r>
          </w:p>
        </w:tc>
        <w:tc>
          <w:tcPr>
            <w:tcW w:w="1559" w:type="dxa"/>
          </w:tcPr>
          <w:p w:rsidR="00430273" w:rsidRPr="003640DD" w:rsidRDefault="00430273" w:rsidP="003640DD">
            <w:pPr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0DD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</w:tr>
    </w:tbl>
    <w:p w:rsidR="0069034D" w:rsidRDefault="0069034D"/>
    <w:p w:rsidR="005F6DCF" w:rsidRPr="00430273" w:rsidRDefault="005F6DCF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 w:rsidRPr="00430273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t xml:space="preserve">ТОРГОВЛЯ И ОБЩЕСТВЕННОЕ ПИТАНИЕ </w:t>
      </w:r>
    </w:p>
    <w:p w:rsidR="000C284D" w:rsidRPr="000C284D" w:rsidRDefault="000C284D" w:rsidP="000C284D">
      <w:pPr>
        <w:pStyle w:val="ac"/>
        <w:ind w:firstLine="709"/>
        <w:jc w:val="both"/>
        <w:rPr>
          <w:b w:val="0"/>
          <w:szCs w:val="24"/>
        </w:rPr>
      </w:pPr>
      <w:r w:rsidRPr="000C284D">
        <w:rPr>
          <w:b w:val="0"/>
          <w:szCs w:val="24"/>
        </w:rPr>
        <w:t xml:space="preserve">В январе-сентябре 2018 года оборот оптовой торговли по организациям г. Тольятти составил 60,2 млрд. рублей, что на 5,6 процента больше, чем в январе-сентябре 2017 года. За отчетный период оборот оптовой торговли по г. Тольятти составил 24,7 процента от оборота по Самарской области. </w:t>
      </w:r>
    </w:p>
    <w:p w:rsidR="000C284D" w:rsidRPr="000C284D" w:rsidRDefault="000C284D" w:rsidP="000C284D">
      <w:pPr>
        <w:pStyle w:val="ac"/>
        <w:ind w:firstLine="709"/>
        <w:jc w:val="both"/>
        <w:rPr>
          <w:b w:val="0"/>
          <w:szCs w:val="24"/>
        </w:rPr>
      </w:pPr>
      <w:r w:rsidRPr="000C284D">
        <w:rPr>
          <w:b w:val="0"/>
          <w:szCs w:val="24"/>
        </w:rPr>
        <w:t>Оборот оптовой торговли организаций оптовой торговли</w:t>
      </w:r>
      <w:proofErr w:type="gramStart"/>
      <w:r>
        <w:rPr>
          <w:b w:val="0"/>
          <w:szCs w:val="24"/>
          <w:vertAlign w:val="superscript"/>
        </w:rPr>
        <w:t>1</w:t>
      </w:r>
      <w:proofErr w:type="gramEnd"/>
      <w:r w:rsidRPr="000C284D">
        <w:rPr>
          <w:b w:val="0"/>
          <w:szCs w:val="24"/>
        </w:rPr>
        <w:t>, за январь-сентябрь 2018 года составил 28,7 процента от оборота оптовой торговли организаций всех видов деятельности, или 17,3 млрд. рублей. По сравнению с январем-сентябрем 2017 года наблюдается снижение данного показателя на 5,3 процента. Доля оборота оптовой торговли организаций оптовой торговли</w:t>
      </w:r>
      <w:proofErr w:type="gramStart"/>
      <w:r>
        <w:rPr>
          <w:b w:val="0"/>
          <w:szCs w:val="24"/>
          <w:vertAlign w:val="superscript"/>
        </w:rPr>
        <w:t>1</w:t>
      </w:r>
      <w:proofErr w:type="gramEnd"/>
      <w:r w:rsidRPr="000C284D">
        <w:rPr>
          <w:b w:val="0"/>
          <w:szCs w:val="24"/>
        </w:rPr>
        <w:t>, составляет 11,2 процента от оборота по Самарской области.</w:t>
      </w:r>
    </w:p>
    <w:p w:rsidR="00583A93" w:rsidRPr="000C284D" w:rsidRDefault="00583A93" w:rsidP="000C284D">
      <w:pPr>
        <w:pStyle w:val="ac"/>
        <w:ind w:firstLine="567"/>
        <w:jc w:val="both"/>
        <w:rPr>
          <w:b w:val="0"/>
          <w:i/>
          <w:szCs w:val="24"/>
        </w:rPr>
      </w:pPr>
      <w:r w:rsidRPr="000C284D">
        <w:rPr>
          <w:i/>
          <w:color w:val="000000"/>
          <w:sz w:val="20"/>
          <w:vertAlign w:val="superscript"/>
        </w:rPr>
        <w:t>1</w:t>
      </w:r>
      <w:r w:rsidRPr="000C284D">
        <w:rPr>
          <w:i/>
          <w:color w:val="000000"/>
          <w:sz w:val="20"/>
        </w:rPr>
        <w:t xml:space="preserve"> – </w:t>
      </w:r>
      <w:r w:rsidRPr="000C284D">
        <w:rPr>
          <w:b w:val="0"/>
          <w:i/>
          <w:color w:val="000000"/>
          <w:sz w:val="20"/>
        </w:rPr>
        <w:t xml:space="preserve">по организациям, зарегистрированным по виду экономической деятельности </w:t>
      </w:r>
      <w:r w:rsidR="00A97001" w:rsidRPr="000C284D">
        <w:rPr>
          <w:b w:val="0"/>
          <w:i/>
          <w:color w:val="000000"/>
          <w:sz w:val="20"/>
        </w:rPr>
        <w:t>«</w:t>
      </w:r>
      <w:r w:rsidRPr="000C284D">
        <w:rPr>
          <w:b w:val="0"/>
          <w:i/>
          <w:color w:val="000000"/>
          <w:sz w:val="20"/>
        </w:rPr>
        <w:t>торговля розничная, кроме розничной торговли автотранспортным средствами и мотоциклами</w:t>
      </w:r>
      <w:r w:rsidR="000C284D" w:rsidRPr="000C284D">
        <w:rPr>
          <w:b w:val="0"/>
          <w:i/>
          <w:color w:val="000000"/>
          <w:sz w:val="20"/>
        </w:rPr>
        <w:t>»</w:t>
      </w:r>
      <w:r w:rsidRPr="000C284D">
        <w:rPr>
          <w:b w:val="0"/>
          <w:i/>
          <w:color w:val="000000"/>
          <w:sz w:val="20"/>
        </w:rPr>
        <w:t>.</w:t>
      </w:r>
    </w:p>
    <w:p w:rsidR="000C284D" w:rsidRPr="000C284D" w:rsidRDefault="000C284D" w:rsidP="000C284D">
      <w:pPr>
        <w:pStyle w:val="ac"/>
        <w:ind w:firstLine="709"/>
        <w:jc w:val="both"/>
        <w:rPr>
          <w:b w:val="0"/>
          <w:szCs w:val="24"/>
        </w:rPr>
      </w:pPr>
      <w:r w:rsidRPr="000C284D">
        <w:rPr>
          <w:b w:val="0"/>
          <w:szCs w:val="24"/>
        </w:rPr>
        <w:t>В январе-сентябре 2018 года оборот розничной торговли организаций г. Тольятти составил 51,5 млрд. рублей, что на 5,3 процента больше, чем в январе-сентябре 2017 года, а также составляет 23,7 процента от оборота по Самарской области.</w:t>
      </w:r>
    </w:p>
    <w:p w:rsidR="000C284D" w:rsidRPr="000C284D" w:rsidRDefault="000C284D" w:rsidP="000C284D">
      <w:pPr>
        <w:pStyle w:val="ac"/>
        <w:ind w:firstLine="709"/>
        <w:jc w:val="both"/>
        <w:rPr>
          <w:b w:val="0"/>
          <w:szCs w:val="24"/>
        </w:rPr>
      </w:pPr>
      <w:r w:rsidRPr="000C284D">
        <w:rPr>
          <w:b w:val="0"/>
          <w:szCs w:val="24"/>
        </w:rPr>
        <w:t>В структуре оборота розничной торговли в январе-сентябре 2018 года доля пищевых продуктов, включая напитки, и табачных изделий составила 36,6 процента, непродовольственных товаров – 63,4 процента.</w:t>
      </w:r>
    </w:p>
    <w:p w:rsidR="000C284D" w:rsidRPr="00257A14" w:rsidRDefault="000C284D" w:rsidP="00257A14">
      <w:pPr>
        <w:pStyle w:val="ac"/>
        <w:ind w:firstLine="709"/>
        <w:jc w:val="both"/>
        <w:rPr>
          <w:b w:val="0"/>
          <w:szCs w:val="24"/>
        </w:rPr>
      </w:pPr>
      <w:r w:rsidRPr="00257A14">
        <w:rPr>
          <w:b w:val="0"/>
          <w:szCs w:val="24"/>
        </w:rPr>
        <w:t xml:space="preserve">В январе-сентябре 2018 года в г. Тольятти продано населению товаров собственного производства на сумму 442,2 млн. рублей, что на 20,4 процента меньше, чем в январе-сентябре 2017 года. </w:t>
      </w:r>
    </w:p>
    <w:p w:rsidR="000C284D" w:rsidRPr="00257A14" w:rsidRDefault="000C284D" w:rsidP="00257A14">
      <w:pPr>
        <w:pStyle w:val="ac"/>
        <w:ind w:firstLine="709"/>
        <w:jc w:val="both"/>
        <w:rPr>
          <w:b w:val="0"/>
          <w:szCs w:val="24"/>
        </w:rPr>
      </w:pPr>
      <w:r w:rsidRPr="00257A14">
        <w:rPr>
          <w:b w:val="0"/>
          <w:szCs w:val="24"/>
        </w:rPr>
        <w:t>Объем розничной торговли алкогольными напитками и пивом в январе-сентябре 2018 года составил 3064,6 млн. рублей, что на 15,0 процента больше, чем в январе-сентябре 2017 года.</w:t>
      </w:r>
    </w:p>
    <w:p w:rsidR="00257A14" w:rsidRDefault="00257A14" w:rsidP="00257A14">
      <w:pPr>
        <w:pStyle w:val="ac"/>
        <w:ind w:firstLine="709"/>
        <w:jc w:val="both"/>
        <w:rPr>
          <w:b w:val="0"/>
          <w:szCs w:val="24"/>
        </w:rPr>
      </w:pPr>
      <w:r w:rsidRPr="00257A14">
        <w:rPr>
          <w:b w:val="0"/>
          <w:szCs w:val="24"/>
        </w:rPr>
        <w:lastRenderedPageBreak/>
        <w:t>В январе-сентябре 2018 года оборот общественного питания по полному кругу организаций г. Тольятти составил 5,0 млрд. рублей или 103,4 процента к январю-сентябрю 2017 года, а так же 25,7 процента от оборота по Самарской области</w:t>
      </w:r>
      <w:r w:rsidR="00977713" w:rsidRPr="00977713">
        <w:rPr>
          <w:b w:val="0"/>
          <w:szCs w:val="24"/>
        </w:rPr>
        <w:t xml:space="preserve"> [4]</w:t>
      </w:r>
      <w:r w:rsidRPr="00257A14">
        <w:rPr>
          <w:b w:val="0"/>
          <w:szCs w:val="24"/>
        </w:rPr>
        <w:t>.</w:t>
      </w:r>
    </w:p>
    <w:p w:rsidR="00507DD0" w:rsidRDefault="00507DD0" w:rsidP="004C1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FF1A2" wp14:editId="31559DA8">
            <wp:extent cx="5356860" cy="2583180"/>
            <wp:effectExtent l="0" t="0" r="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6DCF" w:rsidRPr="00E453EA" w:rsidRDefault="005F6DCF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 w:rsidRPr="00257A14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t xml:space="preserve">УСЛУГИ </w:t>
      </w:r>
    </w:p>
    <w:p w:rsidR="00257A14" w:rsidRPr="00CD0A8B" w:rsidRDefault="00257A14" w:rsidP="00CD0A8B">
      <w:pPr>
        <w:pStyle w:val="ac"/>
        <w:ind w:firstLine="709"/>
        <w:jc w:val="both"/>
        <w:rPr>
          <w:b w:val="0"/>
          <w:szCs w:val="24"/>
        </w:rPr>
      </w:pPr>
      <w:r w:rsidRPr="00CD0A8B">
        <w:rPr>
          <w:b w:val="0"/>
          <w:szCs w:val="24"/>
        </w:rPr>
        <w:t>За январь-сентябрь 2018 года предприятиями г. Тольятти оказано платных услуг населению на 11697,3 млн. рублей, что на 12,0 процента больше, чем в январе-сентябре 2017 года или 16,6 процента от объема платных услуг по Самарской области.</w:t>
      </w:r>
    </w:p>
    <w:p w:rsidR="00357CFF" w:rsidRPr="00902D6B" w:rsidRDefault="00B57787" w:rsidP="00243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4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358D1" wp14:editId="74A321AA">
            <wp:extent cx="5890260" cy="3505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D0A8B" w:rsidRPr="00CD0A8B" w:rsidRDefault="00CD0A8B" w:rsidP="00CD0A8B">
      <w:pPr>
        <w:pStyle w:val="ac"/>
        <w:ind w:firstLine="709"/>
        <w:jc w:val="both"/>
        <w:rPr>
          <w:b w:val="0"/>
          <w:szCs w:val="24"/>
        </w:rPr>
      </w:pPr>
      <w:r w:rsidRPr="00CD0A8B">
        <w:rPr>
          <w:b w:val="0"/>
          <w:szCs w:val="24"/>
        </w:rPr>
        <w:t>В январе-сентябре 2018 года объем бытовых услуг, оказанных предприятиями г. Тольятти, составил 188,8 млн. рублей, что на 14,9 процента меньше, чем в январе-сентябре 2017 года или 19,9 процента от объема бытовых услуг по Самарской области.</w:t>
      </w:r>
    </w:p>
    <w:p w:rsidR="00CD0A8B" w:rsidRPr="00CD0A8B" w:rsidRDefault="00CD0A8B" w:rsidP="00CD0A8B">
      <w:pPr>
        <w:pStyle w:val="ac"/>
        <w:ind w:firstLine="709"/>
        <w:jc w:val="both"/>
        <w:rPr>
          <w:b w:val="0"/>
          <w:szCs w:val="24"/>
        </w:rPr>
      </w:pPr>
      <w:r w:rsidRPr="00CD0A8B">
        <w:rPr>
          <w:b w:val="0"/>
          <w:szCs w:val="24"/>
        </w:rPr>
        <w:t>В структуре бытовых услуг наибольший удельный вес занимает техническое обслуживание и ремонт транспортных средств, машин и оборудования (75,1 процента)</w:t>
      </w:r>
      <w:r w:rsidR="00977713" w:rsidRPr="00977713">
        <w:rPr>
          <w:b w:val="0"/>
          <w:szCs w:val="24"/>
        </w:rPr>
        <w:t xml:space="preserve"> [4]</w:t>
      </w:r>
      <w:r w:rsidRPr="00CD0A8B">
        <w:rPr>
          <w:b w:val="0"/>
          <w:szCs w:val="24"/>
        </w:rPr>
        <w:t>.</w:t>
      </w:r>
    </w:p>
    <w:p w:rsidR="005F6DCF" w:rsidRPr="00CD0A8B" w:rsidRDefault="005F6DCF" w:rsidP="00507DD0">
      <w:pPr>
        <w:shd w:val="clear" w:color="auto" w:fill="2A5DA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</w:pPr>
      <w:r w:rsidRPr="00CD0A8B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ru-RU"/>
        </w:rPr>
        <w:lastRenderedPageBreak/>
        <w:t xml:space="preserve">ИСТОЧНИКИ ИНФОРМАЦИИ </w:t>
      </w:r>
    </w:p>
    <w:p w:rsidR="00A702C6" w:rsidRPr="003D3CCB" w:rsidRDefault="00A702C6" w:rsidP="00A702C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города России по качеству жизни </w:t>
      </w:r>
      <w:r w:rsidR="00D3574A"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крупных и средних российских городах России </w:t>
      </w:r>
      <w:hyperlink r:id="rId21" w:history="1">
        <w:r w:rsidRPr="003D3C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(Финансовый университет при Правительстве РФ)</w:t>
        </w:r>
      </w:hyperlink>
      <w:r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 </w:t>
      </w:r>
    </w:p>
    <w:p w:rsidR="00023D7B" w:rsidRPr="003D3CCB" w:rsidRDefault="001338A7" w:rsidP="00A702C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3B5909" w:rsidRPr="0053000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Муниципальное развитие, моногорода и СТА. </w:t>
        </w:r>
        <w:r w:rsidR="00023D7B" w:rsidRPr="0053000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Рейтинги.</w:t>
        </w:r>
      </w:hyperlink>
      <w:r w:rsidR="00023D7B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909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3D7B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</w:t>
      </w:r>
      <w:r w:rsidR="003B5909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23D7B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кономического </w:t>
      </w:r>
      <w:r w:rsidR="003B5909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инвестиций и торговли Самарской области). </w:t>
      </w:r>
    </w:p>
    <w:p w:rsidR="003B5909" w:rsidRPr="00245BAA" w:rsidRDefault="001338A7" w:rsidP="00A702C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F6DCF" w:rsidRPr="00245B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Официальный портал </w:t>
        </w:r>
        <w:r w:rsidR="00245B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администрации</w:t>
        </w:r>
        <w:r w:rsidR="005F6DCF" w:rsidRPr="00245B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городского округа Тольятти</w:t>
        </w:r>
      </w:hyperlink>
      <w:r w:rsidR="003B5909"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DCF" w:rsidRPr="00245BAA" w:rsidRDefault="005F6DCF" w:rsidP="00245BA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="00A97001"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положение г. Тольятти</w:t>
      </w:r>
      <w:r w:rsidR="00A97001"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январь-сентябрь </w:t>
      </w:r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подготовленный </w:t>
      </w:r>
      <w:r w:rsidR="00A702C6"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федеральной  службы государственной  статистики  по Самарской области</w:t>
      </w:r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02C6" w:rsidRPr="003D3CCB" w:rsidRDefault="00121011" w:rsidP="00245BA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6DCF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Тольятти </w:t>
      </w:r>
      <w:r w:rsidR="005F6DCF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3CCB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F6DCF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6DCF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D3CCB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6DCF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45BAA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509</w:t>
      </w:r>
      <w:r w:rsidR="005F6DCF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-п/1</w:t>
      </w:r>
      <w:r w:rsidR="003D3CCB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24" w:history="1">
        <w:r w:rsidR="003D3CCB" w:rsidRPr="003D3CCB">
          <w:rPr>
            <w:rStyle w:val="a4"/>
            <w:rFonts w:ascii="Times New Roman" w:hAnsi="Times New Roman" w:cs="Times New Roman"/>
            <w:sz w:val="24"/>
            <w:szCs w:val="24"/>
          </w:rPr>
          <w:t>О проведении публичных слушаний по Отчету администрации городского округа Тольятти об исполнении бюджета городского округа Тольятти за 2018 год</w:t>
        </w:r>
      </w:hyperlink>
      <w:r w:rsid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DCF"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30B" w:rsidRPr="003D3CCB" w:rsidRDefault="00DD6E2F" w:rsidP="0090530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малых предприятий (без учета </w:t>
      </w:r>
      <w:proofErr w:type="spellStart"/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г. Тольятти за </w:t>
      </w:r>
      <w:r w:rsidR="00245BAA"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5BAA"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245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подготовленные территориальным органом федеральной  службы государственной  статистики  по Самарской области.</w:t>
      </w:r>
    </w:p>
    <w:p w:rsidR="003D3CCB" w:rsidRPr="00835CE9" w:rsidRDefault="003D3CCB" w:rsidP="0090530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Тольятти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20.10.2017   № 3471-п/1 «</w:t>
      </w:r>
      <w:hyperlink r:id="rId25" w:history="1">
        <w:r w:rsidRPr="003D3CCB">
          <w:rPr>
            <w:rStyle w:val="a4"/>
            <w:rFonts w:ascii="Times New Roman" w:hAnsi="Times New Roman" w:cs="Times New Roman"/>
            <w:sz w:val="24"/>
            <w:szCs w:val="24"/>
          </w:rPr>
          <w:t>Об утверждении прогноза социально-экономического развития городского округа Тольятти на 2018 год и плановый период 2019-2020 годов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5CE9" w:rsidRDefault="00835CE9" w:rsidP="00274BD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года».</w:t>
      </w:r>
    </w:p>
    <w:p w:rsidR="005F2E61" w:rsidRPr="001338A7" w:rsidRDefault="001338A7" w:rsidP="00274BD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F2E61" w:rsidRPr="001338A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Информация о состоянии регистрируемого рынка труда городского округа Тольятти на 15.03.2019 г.</w:t>
        </w:r>
      </w:hyperlink>
      <w:r w:rsidR="00D564F4"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Самарской области «Центр занятости населения городского округа Тольятти». </w:t>
      </w:r>
    </w:p>
    <w:p w:rsidR="005F2E61" w:rsidRPr="001338A7" w:rsidRDefault="001338A7" w:rsidP="006E64F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001272" w:rsidRPr="001338A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Информация об итогах работы </w:t>
        </w:r>
        <w:r w:rsidR="00977713" w:rsidRPr="001338A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="00001272" w:rsidRPr="001338A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инистерства экономического развития и инвестиций Самарской области за 2018 год</w:t>
        </w:r>
      </w:hyperlink>
      <w:r w:rsidR="006E64F5" w:rsidRPr="00133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E61" w:rsidRDefault="005F2E61" w:rsidP="005F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09" w:rsidRPr="00960E09" w:rsidRDefault="00960E09" w:rsidP="005F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0E09" w:rsidRPr="00960E09" w:rsidSect="00556D98">
      <w:headerReference w:type="default" r:id="rId2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28" w:rsidRDefault="00945B28" w:rsidP="001A1E44">
      <w:pPr>
        <w:spacing w:after="0" w:line="240" w:lineRule="auto"/>
      </w:pPr>
      <w:r>
        <w:separator/>
      </w:r>
    </w:p>
  </w:endnote>
  <w:endnote w:type="continuationSeparator" w:id="0">
    <w:p w:rsidR="00945B28" w:rsidRDefault="00945B28" w:rsidP="001A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28" w:rsidRDefault="00945B28" w:rsidP="001A1E44">
      <w:pPr>
        <w:spacing w:after="0" w:line="240" w:lineRule="auto"/>
      </w:pPr>
      <w:r>
        <w:separator/>
      </w:r>
    </w:p>
  </w:footnote>
  <w:footnote w:type="continuationSeparator" w:id="0">
    <w:p w:rsidR="00945B28" w:rsidRDefault="00945B28" w:rsidP="001A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81690"/>
      <w:docPartObj>
        <w:docPartGallery w:val="Page Numbers (Top of Page)"/>
        <w:docPartUnique/>
      </w:docPartObj>
    </w:sdtPr>
    <w:sdtEndPr/>
    <w:sdtContent>
      <w:p w:rsidR="00945B28" w:rsidRDefault="00945B2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A7">
          <w:rPr>
            <w:noProof/>
          </w:rPr>
          <w:t>2</w:t>
        </w:r>
        <w:r>
          <w:fldChar w:fldCharType="end"/>
        </w:r>
      </w:p>
    </w:sdtContent>
  </w:sdt>
  <w:p w:rsidR="00945B28" w:rsidRDefault="00945B2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A1"/>
    <w:multiLevelType w:val="hybridMultilevel"/>
    <w:tmpl w:val="8968E824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5DA4"/>
    <w:multiLevelType w:val="hybridMultilevel"/>
    <w:tmpl w:val="722EEEC2"/>
    <w:lvl w:ilvl="0" w:tplc="2898D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357097"/>
    <w:multiLevelType w:val="hybridMultilevel"/>
    <w:tmpl w:val="403C9328"/>
    <w:lvl w:ilvl="0" w:tplc="2898DB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1C3428C"/>
    <w:multiLevelType w:val="hybridMultilevel"/>
    <w:tmpl w:val="91224390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B2A95"/>
    <w:multiLevelType w:val="hybridMultilevel"/>
    <w:tmpl w:val="829E8932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A3F86"/>
    <w:multiLevelType w:val="hybridMultilevel"/>
    <w:tmpl w:val="53CADDD8"/>
    <w:lvl w:ilvl="0" w:tplc="2FD20DFC">
      <w:start w:val="5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07074126"/>
    <w:multiLevelType w:val="hybridMultilevel"/>
    <w:tmpl w:val="32D458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207BA0"/>
    <w:multiLevelType w:val="hybridMultilevel"/>
    <w:tmpl w:val="E22C4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847B2"/>
    <w:multiLevelType w:val="hybridMultilevel"/>
    <w:tmpl w:val="5F3A8DD4"/>
    <w:lvl w:ilvl="0" w:tplc="2FD20D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D67B5"/>
    <w:multiLevelType w:val="hybridMultilevel"/>
    <w:tmpl w:val="6FB0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5370B"/>
    <w:multiLevelType w:val="hybridMultilevel"/>
    <w:tmpl w:val="675E21E8"/>
    <w:lvl w:ilvl="0" w:tplc="04164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9585D"/>
    <w:multiLevelType w:val="hybridMultilevel"/>
    <w:tmpl w:val="42FC4542"/>
    <w:lvl w:ilvl="0" w:tplc="2898DB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94B7DA8"/>
    <w:multiLevelType w:val="hybridMultilevel"/>
    <w:tmpl w:val="EBA4B2E6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F4C88"/>
    <w:multiLevelType w:val="hybridMultilevel"/>
    <w:tmpl w:val="89BA2E9C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2310A"/>
    <w:multiLevelType w:val="hybridMultilevel"/>
    <w:tmpl w:val="EE2A54AA"/>
    <w:lvl w:ilvl="0" w:tplc="2898D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A22F84"/>
    <w:multiLevelType w:val="hybridMultilevel"/>
    <w:tmpl w:val="0B842C66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A16E7"/>
    <w:multiLevelType w:val="hybridMultilevel"/>
    <w:tmpl w:val="C0DA14C0"/>
    <w:lvl w:ilvl="0" w:tplc="2898DB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0E000F"/>
    <w:multiLevelType w:val="hybridMultilevel"/>
    <w:tmpl w:val="DA84ABB0"/>
    <w:lvl w:ilvl="0" w:tplc="B538C302">
      <w:numFmt w:val="bullet"/>
      <w:lvlText w:val="•"/>
      <w:lvlJc w:val="left"/>
      <w:pPr>
        <w:ind w:left="2179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842178"/>
    <w:multiLevelType w:val="hybridMultilevel"/>
    <w:tmpl w:val="659C924A"/>
    <w:lvl w:ilvl="0" w:tplc="2898D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E3699F"/>
    <w:multiLevelType w:val="hybridMultilevel"/>
    <w:tmpl w:val="B2F298DE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A15AF"/>
    <w:multiLevelType w:val="hybridMultilevel"/>
    <w:tmpl w:val="6784B6AE"/>
    <w:lvl w:ilvl="0" w:tplc="2898D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F1C6EFA"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 w:hint="eastAsia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0F68E4"/>
    <w:multiLevelType w:val="hybridMultilevel"/>
    <w:tmpl w:val="643A990E"/>
    <w:lvl w:ilvl="0" w:tplc="2898D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8278D9"/>
    <w:multiLevelType w:val="hybridMultilevel"/>
    <w:tmpl w:val="C26EAF2C"/>
    <w:lvl w:ilvl="0" w:tplc="B2805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D56D50"/>
    <w:multiLevelType w:val="hybridMultilevel"/>
    <w:tmpl w:val="BAD625C2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73641"/>
    <w:multiLevelType w:val="hybridMultilevel"/>
    <w:tmpl w:val="575CB718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A50C3"/>
    <w:multiLevelType w:val="hybridMultilevel"/>
    <w:tmpl w:val="2736CC70"/>
    <w:lvl w:ilvl="0" w:tplc="2898D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403C5E"/>
    <w:multiLevelType w:val="hybridMultilevel"/>
    <w:tmpl w:val="68D0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3758A"/>
    <w:multiLevelType w:val="hybridMultilevel"/>
    <w:tmpl w:val="E6E43E12"/>
    <w:lvl w:ilvl="0" w:tplc="2898D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E560C7"/>
    <w:multiLevelType w:val="hybridMultilevel"/>
    <w:tmpl w:val="E18EA4F8"/>
    <w:lvl w:ilvl="0" w:tplc="2898DB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F350F0"/>
    <w:multiLevelType w:val="hybridMultilevel"/>
    <w:tmpl w:val="94DAF496"/>
    <w:lvl w:ilvl="0" w:tplc="2898D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3B332E"/>
    <w:multiLevelType w:val="hybridMultilevel"/>
    <w:tmpl w:val="3506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B63E4"/>
    <w:multiLevelType w:val="hybridMultilevel"/>
    <w:tmpl w:val="EFAE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82F4D"/>
    <w:multiLevelType w:val="hybridMultilevel"/>
    <w:tmpl w:val="9ED85CB6"/>
    <w:lvl w:ilvl="0" w:tplc="80F6DAA6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66A13"/>
    <w:multiLevelType w:val="hybridMultilevel"/>
    <w:tmpl w:val="381AAE18"/>
    <w:lvl w:ilvl="0" w:tplc="2898DB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D15DE0"/>
    <w:multiLevelType w:val="hybridMultilevel"/>
    <w:tmpl w:val="424E0C4C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5">
    <w:nsid w:val="66C01BBB"/>
    <w:multiLevelType w:val="hybridMultilevel"/>
    <w:tmpl w:val="B83A3A0C"/>
    <w:lvl w:ilvl="0" w:tplc="C944EB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90A43"/>
    <w:multiLevelType w:val="hybridMultilevel"/>
    <w:tmpl w:val="DF2C43EE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264AB"/>
    <w:multiLevelType w:val="hybridMultilevel"/>
    <w:tmpl w:val="10F4D340"/>
    <w:lvl w:ilvl="0" w:tplc="B5E49932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97807"/>
    <w:multiLevelType w:val="hybridMultilevel"/>
    <w:tmpl w:val="EF66C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7C78DB"/>
    <w:multiLevelType w:val="hybridMultilevel"/>
    <w:tmpl w:val="52E0EB66"/>
    <w:lvl w:ilvl="0" w:tplc="2898DBF8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0">
    <w:nsid w:val="77A41E16"/>
    <w:multiLevelType w:val="hybridMultilevel"/>
    <w:tmpl w:val="F776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509C5"/>
    <w:multiLevelType w:val="hybridMultilevel"/>
    <w:tmpl w:val="D556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43383"/>
    <w:multiLevelType w:val="hybridMultilevel"/>
    <w:tmpl w:val="D84EA03C"/>
    <w:lvl w:ilvl="0" w:tplc="2898D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7"/>
  </w:num>
  <w:num w:numId="4">
    <w:abstractNumId w:val="6"/>
  </w:num>
  <w:num w:numId="5">
    <w:abstractNumId w:val="34"/>
  </w:num>
  <w:num w:numId="6">
    <w:abstractNumId w:val="41"/>
  </w:num>
  <w:num w:numId="7">
    <w:abstractNumId w:val="35"/>
  </w:num>
  <w:num w:numId="8">
    <w:abstractNumId w:val="15"/>
  </w:num>
  <w:num w:numId="9">
    <w:abstractNumId w:val="42"/>
  </w:num>
  <w:num w:numId="10">
    <w:abstractNumId w:val="13"/>
  </w:num>
  <w:num w:numId="11">
    <w:abstractNumId w:val="38"/>
  </w:num>
  <w:num w:numId="12">
    <w:abstractNumId w:val="17"/>
  </w:num>
  <w:num w:numId="13">
    <w:abstractNumId w:val="27"/>
  </w:num>
  <w:num w:numId="14">
    <w:abstractNumId w:val="22"/>
  </w:num>
  <w:num w:numId="15">
    <w:abstractNumId w:val="18"/>
  </w:num>
  <w:num w:numId="16">
    <w:abstractNumId w:val="14"/>
  </w:num>
  <w:num w:numId="17">
    <w:abstractNumId w:val="28"/>
  </w:num>
  <w:num w:numId="18">
    <w:abstractNumId w:val="31"/>
  </w:num>
  <w:num w:numId="19">
    <w:abstractNumId w:val="20"/>
  </w:num>
  <w:num w:numId="20">
    <w:abstractNumId w:val="11"/>
  </w:num>
  <w:num w:numId="21">
    <w:abstractNumId w:val="33"/>
  </w:num>
  <w:num w:numId="22">
    <w:abstractNumId w:val="2"/>
  </w:num>
  <w:num w:numId="23">
    <w:abstractNumId w:val="0"/>
  </w:num>
  <w:num w:numId="24">
    <w:abstractNumId w:val="16"/>
  </w:num>
  <w:num w:numId="25">
    <w:abstractNumId w:val="3"/>
  </w:num>
  <w:num w:numId="26">
    <w:abstractNumId w:val="23"/>
  </w:num>
  <w:num w:numId="27">
    <w:abstractNumId w:val="1"/>
  </w:num>
  <w:num w:numId="28">
    <w:abstractNumId w:val="4"/>
  </w:num>
  <w:num w:numId="29">
    <w:abstractNumId w:val="5"/>
  </w:num>
  <w:num w:numId="30">
    <w:abstractNumId w:val="8"/>
  </w:num>
  <w:num w:numId="31">
    <w:abstractNumId w:val="39"/>
  </w:num>
  <w:num w:numId="32">
    <w:abstractNumId w:val="24"/>
  </w:num>
  <w:num w:numId="33">
    <w:abstractNumId w:val="29"/>
  </w:num>
  <w:num w:numId="34">
    <w:abstractNumId w:val="40"/>
  </w:num>
  <w:num w:numId="35">
    <w:abstractNumId w:val="9"/>
  </w:num>
  <w:num w:numId="36">
    <w:abstractNumId w:val="26"/>
  </w:num>
  <w:num w:numId="37">
    <w:abstractNumId w:val="37"/>
  </w:num>
  <w:num w:numId="38">
    <w:abstractNumId w:val="12"/>
  </w:num>
  <w:num w:numId="39">
    <w:abstractNumId w:val="25"/>
  </w:num>
  <w:num w:numId="40">
    <w:abstractNumId w:val="32"/>
  </w:num>
  <w:num w:numId="41">
    <w:abstractNumId w:val="19"/>
  </w:num>
  <w:num w:numId="42">
    <w:abstractNumId w:val="2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CF"/>
    <w:rsid w:val="00001272"/>
    <w:rsid w:val="000025A6"/>
    <w:rsid w:val="0000270B"/>
    <w:rsid w:val="0000580B"/>
    <w:rsid w:val="00011661"/>
    <w:rsid w:val="0001383A"/>
    <w:rsid w:val="00015338"/>
    <w:rsid w:val="00023D7B"/>
    <w:rsid w:val="00032D60"/>
    <w:rsid w:val="00041613"/>
    <w:rsid w:val="0004765C"/>
    <w:rsid w:val="00053BC6"/>
    <w:rsid w:val="0005664F"/>
    <w:rsid w:val="000571B1"/>
    <w:rsid w:val="00060FDC"/>
    <w:rsid w:val="00062843"/>
    <w:rsid w:val="0007133F"/>
    <w:rsid w:val="00076ED4"/>
    <w:rsid w:val="00084D11"/>
    <w:rsid w:val="00086E66"/>
    <w:rsid w:val="00092050"/>
    <w:rsid w:val="000938FC"/>
    <w:rsid w:val="000A1AF7"/>
    <w:rsid w:val="000A1B30"/>
    <w:rsid w:val="000B3425"/>
    <w:rsid w:val="000B655B"/>
    <w:rsid w:val="000C1306"/>
    <w:rsid w:val="000C219C"/>
    <w:rsid w:val="000C284D"/>
    <w:rsid w:val="000D4904"/>
    <w:rsid w:val="000E0CE3"/>
    <w:rsid w:val="000E3273"/>
    <w:rsid w:val="000F4409"/>
    <w:rsid w:val="001001A2"/>
    <w:rsid w:val="001001B1"/>
    <w:rsid w:val="00101064"/>
    <w:rsid w:val="001012DF"/>
    <w:rsid w:val="00105D29"/>
    <w:rsid w:val="00106985"/>
    <w:rsid w:val="0011657E"/>
    <w:rsid w:val="00121011"/>
    <w:rsid w:val="001338A7"/>
    <w:rsid w:val="0013565A"/>
    <w:rsid w:val="001432BD"/>
    <w:rsid w:val="001476B2"/>
    <w:rsid w:val="00164417"/>
    <w:rsid w:val="0017010C"/>
    <w:rsid w:val="00170BEA"/>
    <w:rsid w:val="00176D96"/>
    <w:rsid w:val="001853C2"/>
    <w:rsid w:val="00193809"/>
    <w:rsid w:val="00193ECA"/>
    <w:rsid w:val="00194C92"/>
    <w:rsid w:val="001A1E44"/>
    <w:rsid w:val="001A2668"/>
    <w:rsid w:val="001A3446"/>
    <w:rsid w:val="001A4FB6"/>
    <w:rsid w:val="001A6C9D"/>
    <w:rsid w:val="001B14B0"/>
    <w:rsid w:val="001C4B27"/>
    <w:rsid w:val="001C71C3"/>
    <w:rsid w:val="001C7D7E"/>
    <w:rsid w:val="001D38BF"/>
    <w:rsid w:val="001D63F8"/>
    <w:rsid w:val="001E5E13"/>
    <w:rsid w:val="001F1066"/>
    <w:rsid w:val="00206863"/>
    <w:rsid w:val="00214D40"/>
    <w:rsid w:val="00221CBB"/>
    <w:rsid w:val="00223D62"/>
    <w:rsid w:val="0022465B"/>
    <w:rsid w:val="00235AA9"/>
    <w:rsid w:val="002362ED"/>
    <w:rsid w:val="00243E1C"/>
    <w:rsid w:val="00245BAA"/>
    <w:rsid w:val="00246261"/>
    <w:rsid w:val="00253DF3"/>
    <w:rsid w:val="002554D5"/>
    <w:rsid w:val="00257A14"/>
    <w:rsid w:val="00257D39"/>
    <w:rsid w:val="00260878"/>
    <w:rsid w:val="00260B1E"/>
    <w:rsid w:val="00262B97"/>
    <w:rsid w:val="00263013"/>
    <w:rsid w:val="00274065"/>
    <w:rsid w:val="00274BDA"/>
    <w:rsid w:val="00276A2A"/>
    <w:rsid w:val="0027742D"/>
    <w:rsid w:val="00285252"/>
    <w:rsid w:val="00286517"/>
    <w:rsid w:val="002865CA"/>
    <w:rsid w:val="00290D76"/>
    <w:rsid w:val="002A3321"/>
    <w:rsid w:val="002B450B"/>
    <w:rsid w:val="002B49B6"/>
    <w:rsid w:val="002C4DEA"/>
    <w:rsid w:val="002C5DF2"/>
    <w:rsid w:val="002C6EE5"/>
    <w:rsid w:val="002E1F06"/>
    <w:rsid w:val="002E2C29"/>
    <w:rsid w:val="002E2F20"/>
    <w:rsid w:val="002E4CE2"/>
    <w:rsid w:val="002E4FCE"/>
    <w:rsid w:val="002E7EDE"/>
    <w:rsid w:val="002F00BA"/>
    <w:rsid w:val="002F11A0"/>
    <w:rsid w:val="00300EBE"/>
    <w:rsid w:val="0030190E"/>
    <w:rsid w:val="003054BB"/>
    <w:rsid w:val="003130FA"/>
    <w:rsid w:val="003144A4"/>
    <w:rsid w:val="0032033D"/>
    <w:rsid w:val="0032125A"/>
    <w:rsid w:val="00346D85"/>
    <w:rsid w:val="00351A8C"/>
    <w:rsid w:val="00353EBE"/>
    <w:rsid w:val="00356A9E"/>
    <w:rsid w:val="00357397"/>
    <w:rsid w:val="00357CFF"/>
    <w:rsid w:val="00360359"/>
    <w:rsid w:val="00363F4F"/>
    <w:rsid w:val="003640DD"/>
    <w:rsid w:val="00365400"/>
    <w:rsid w:val="003824AD"/>
    <w:rsid w:val="003824BB"/>
    <w:rsid w:val="00382FAD"/>
    <w:rsid w:val="0038706D"/>
    <w:rsid w:val="0039017D"/>
    <w:rsid w:val="0039121D"/>
    <w:rsid w:val="00394D30"/>
    <w:rsid w:val="00395E91"/>
    <w:rsid w:val="003964D2"/>
    <w:rsid w:val="00397A3D"/>
    <w:rsid w:val="00397DF5"/>
    <w:rsid w:val="003A4A66"/>
    <w:rsid w:val="003A5720"/>
    <w:rsid w:val="003B42C0"/>
    <w:rsid w:val="003B5909"/>
    <w:rsid w:val="003B72D3"/>
    <w:rsid w:val="003C2CD2"/>
    <w:rsid w:val="003C3A39"/>
    <w:rsid w:val="003C6D9C"/>
    <w:rsid w:val="003C78D3"/>
    <w:rsid w:val="003D3CCB"/>
    <w:rsid w:val="003D4BFE"/>
    <w:rsid w:val="003D57A7"/>
    <w:rsid w:val="003F5BE8"/>
    <w:rsid w:val="003F63C1"/>
    <w:rsid w:val="003F7A01"/>
    <w:rsid w:val="0040241E"/>
    <w:rsid w:val="00402BA0"/>
    <w:rsid w:val="00403BD0"/>
    <w:rsid w:val="00405361"/>
    <w:rsid w:val="00405F49"/>
    <w:rsid w:val="00407797"/>
    <w:rsid w:val="00410B64"/>
    <w:rsid w:val="004253D4"/>
    <w:rsid w:val="0042737B"/>
    <w:rsid w:val="00430273"/>
    <w:rsid w:val="00432918"/>
    <w:rsid w:val="00432CB6"/>
    <w:rsid w:val="00435B6F"/>
    <w:rsid w:val="004403FD"/>
    <w:rsid w:val="0044061E"/>
    <w:rsid w:val="00440B37"/>
    <w:rsid w:val="0044241B"/>
    <w:rsid w:val="00442FEE"/>
    <w:rsid w:val="00443765"/>
    <w:rsid w:val="00445403"/>
    <w:rsid w:val="0044556E"/>
    <w:rsid w:val="00453399"/>
    <w:rsid w:val="00455AD1"/>
    <w:rsid w:val="00455F07"/>
    <w:rsid w:val="00456D7B"/>
    <w:rsid w:val="00461C3F"/>
    <w:rsid w:val="00471160"/>
    <w:rsid w:val="00471FE4"/>
    <w:rsid w:val="004746A9"/>
    <w:rsid w:val="00474A6A"/>
    <w:rsid w:val="00477FC2"/>
    <w:rsid w:val="0049163B"/>
    <w:rsid w:val="0049275D"/>
    <w:rsid w:val="0049740B"/>
    <w:rsid w:val="004A1592"/>
    <w:rsid w:val="004A2128"/>
    <w:rsid w:val="004A5097"/>
    <w:rsid w:val="004A7765"/>
    <w:rsid w:val="004B234D"/>
    <w:rsid w:val="004B5964"/>
    <w:rsid w:val="004C159A"/>
    <w:rsid w:val="004C7357"/>
    <w:rsid w:val="004C7821"/>
    <w:rsid w:val="004D6850"/>
    <w:rsid w:val="004E0290"/>
    <w:rsid w:val="004E6D28"/>
    <w:rsid w:val="004E70B6"/>
    <w:rsid w:val="004E7EC3"/>
    <w:rsid w:val="00504907"/>
    <w:rsid w:val="00506097"/>
    <w:rsid w:val="00506DFA"/>
    <w:rsid w:val="00507DD0"/>
    <w:rsid w:val="005106FB"/>
    <w:rsid w:val="00514F61"/>
    <w:rsid w:val="00520AE7"/>
    <w:rsid w:val="0052251E"/>
    <w:rsid w:val="005269DD"/>
    <w:rsid w:val="005270C1"/>
    <w:rsid w:val="00530004"/>
    <w:rsid w:val="00543DF3"/>
    <w:rsid w:val="00547DFB"/>
    <w:rsid w:val="00550B48"/>
    <w:rsid w:val="005529D0"/>
    <w:rsid w:val="00556D98"/>
    <w:rsid w:val="00563F09"/>
    <w:rsid w:val="00571511"/>
    <w:rsid w:val="00583A93"/>
    <w:rsid w:val="005932C7"/>
    <w:rsid w:val="005A10F5"/>
    <w:rsid w:val="005C31D5"/>
    <w:rsid w:val="005C3FE8"/>
    <w:rsid w:val="005D16E4"/>
    <w:rsid w:val="005D2BFE"/>
    <w:rsid w:val="005D381D"/>
    <w:rsid w:val="005D65C2"/>
    <w:rsid w:val="005E44D2"/>
    <w:rsid w:val="005F182D"/>
    <w:rsid w:val="005F2E61"/>
    <w:rsid w:val="005F6DCF"/>
    <w:rsid w:val="00603334"/>
    <w:rsid w:val="00605026"/>
    <w:rsid w:val="006051E6"/>
    <w:rsid w:val="00613298"/>
    <w:rsid w:val="00615BE6"/>
    <w:rsid w:val="00620FFB"/>
    <w:rsid w:val="00622952"/>
    <w:rsid w:val="00627EC6"/>
    <w:rsid w:val="006442B4"/>
    <w:rsid w:val="00651FAD"/>
    <w:rsid w:val="00652D1A"/>
    <w:rsid w:val="006535CE"/>
    <w:rsid w:val="006558AA"/>
    <w:rsid w:val="00662C96"/>
    <w:rsid w:val="006709AF"/>
    <w:rsid w:val="006808AA"/>
    <w:rsid w:val="0069034D"/>
    <w:rsid w:val="00692227"/>
    <w:rsid w:val="006928A9"/>
    <w:rsid w:val="00693518"/>
    <w:rsid w:val="006A6450"/>
    <w:rsid w:val="006B7D78"/>
    <w:rsid w:val="006C4D0D"/>
    <w:rsid w:val="006C5964"/>
    <w:rsid w:val="006D4DD5"/>
    <w:rsid w:val="006E4CF2"/>
    <w:rsid w:val="006E64F5"/>
    <w:rsid w:val="00705418"/>
    <w:rsid w:val="00705C49"/>
    <w:rsid w:val="007104E4"/>
    <w:rsid w:val="00710B3F"/>
    <w:rsid w:val="007113D3"/>
    <w:rsid w:val="007124AB"/>
    <w:rsid w:val="007172C3"/>
    <w:rsid w:val="00725318"/>
    <w:rsid w:val="007360D6"/>
    <w:rsid w:val="00737434"/>
    <w:rsid w:val="00740399"/>
    <w:rsid w:val="00740961"/>
    <w:rsid w:val="00740D80"/>
    <w:rsid w:val="00742FCB"/>
    <w:rsid w:val="00744751"/>
    <w:rsid w:val="007553EB"/>
    <w:rsid w:val="00757A33"/>
    <w:rsid w:val="00757B7D"/>
    <w:rsid w:val="00760F92"/>
    <w:rsid w:val="00766548"/>
    <w:rsid w:val="00767811"/>
    <w:rsid w:val="007678C5"/>
    <w:rsid w:val="00780D3E"/>
    <w:rsid w:val="007817FA"/>
    <w:rsid w:val="0078251E"/>
    <w:rsid w:val="007858CE"/>
    <w:rsid w:val="00786E77"/>
    <w:rsid w:val="00787A68"/>
    <w:rsid w:val="007953FE"/>
    <w:rsid w:val="007A3A4E"/>
    <w:rsid w:val="007A45F5"/>
    <w:rsid w:val="007A4F51"/>
    <w:rsid w:val="007A7BE4"/>
    <w:rsid w:val="007B6A0B"/>
    <w:rsid w:val="007C25CB"/>
    <w:rsid w:val="007C3952"/>
    <w:rsid w:val="007D46CA"/>
    <w:rsid w:val="007E0236"/>
    <w:rsid w:val="007E387F"/>
    <w:rsid w:val="007E4421"/>
    <w:rsid w:val="007E76DC"/>
    <w:rsid w:val="00800F0D"/>
    <w:rsid w:val="0080347A"/>
    <w:rsid w:val="00806657"/>
    <w:rsid w:val="00811ED3"/>
    <w:rsid w:val="008229B3"/>
    <w:rsid w:val="008262AD"/>
    <w:rsid w:val="00826F22"/>
    <w:rsid w:val="00827CA2"/>
    <w:rsid w:val="00831159"/>
    <w:rsid w:val="008315AF"/>
    <w:rsid w:val="00833AD4"/>
    <w:rsid w:val="00835B94"/>
    <w:rsid w:val="00835CE9"/>
    <w:rsid w:val="0084650C"/>
    <w:rsid w:val="00854387"/>
    <w:rsid w:val="008553C6"/>
    <w:rsid w:val="00856D0C"/>
    <w:rsid w:val="008629E2"/>
    <w:rsid w:val="00865587"/>
    <w:rsid w:val="008657E5"/>
    <w:rsid w:val="008719DD"/>
    <w:rsid w:val="008807FC"/>
    <w:rsid w:val="00883934"/>
    <w:rsid w:val="008844F2"/>
    <w:rsid w:val="008A1DF5"/>
    <w:rsid w:val="008A6EC9"/>
    <w:rsid w:val="008B0086"/>
    <w:rsid w:val="008B667F"/>
    <w:rsid w:val="008C239C"/>
    <w:rsid w:val="008C466A"/>
    <w:rsid w:val="008C49C4"/>
    <w:rsid w:val="008C6DFB"/>
    <w:rsid w:val="008D1E04"/>
    <w:rsid w:val="008D37FD"/>
    <w:rsid w:val="008D6F77"/>
    <w:rsid w:val="008E00DF"/>
    <w:rsid w:val="008E09F8"/>
    <w:rsid w:val="008E2B21"/>
    <w:rsid w:val="008E4644"/>
    <w:rsid w:val="008F38EF"/>
    <w:rsid w:val="00900932"/>
    <w:rsid w:val="00902D6B"/>
    <w:rsid w:val="0090530B"/>
    <w:rsid w:val="00912DCB"/>
    <w:rsid w:val="00927122"/>
    <w:rsid w:val="0093339A"/>
    <w:rsid w:val="009348CE"/>
    <w:rsid w:val="0093701B"/>
    <w:rsid w:val="009403E9"/>
    <w:rsid w:val="00940FBF"/>
    <w:rsid w:val="00944394"/>
    <w:rsid w:val="00945B28"/>
    <w:rsid w:val="00950657"/>
    <w:rsid w:val="00955694"/>
    <w:rsid w:val="00960407"/>
    <w:rsid w:val="00960BC9"/>
    <w:rsid w:val="00960E09"/>
    <w:rsid w:val="00963FEE"/>
    <w:rsid w:val="00977713"/>
    <w:rsid w:val="00982436"/>
    <w:rsid w:val="009933D1"/>
    <w:rsid w:val="009938F6"/>
    <w:rsid w:val="009961B6"/>
    <w:rsid w:val="0099692B"/>
    <w:rsid w:val="00997697"/>
    <w:rsid w:val="009A2C1D"/>
    <w:rsid w:val="009B0337"/>
    <w:rsid w:val="009C4CE0"/>
    <w:rsid w:val="009C6F40"/>
    <w:rsid w:val="009D27A4"/>
    <w:rsid w:val="009D4F15"/>
    <w:rsid w:val="009D766E"/>
    <w:rsid w:val="009F19F7"/>
    <w:rsid w:val="009F3916"/>
    <w:rsid w:val="009F7B79"/>
    <w:rsid w:val="00A12F9A"/>
    <w:rsid w:val="00A321CB"/>
    <w:rsid w:val="00A40C0F"/>
    <w:rsid w:val="00A44A25"/>
    <w:rsid w:val="00A46810"/>
    <w:rsid w:val="00A50DBA"/>
    <w:rsid w:val="00A578F9"/>
    <w:rsid w:val="00A6754B"/>
    <w:rsid w:val="00A702C6"/>
    <w:rsid w:val="00A74552"/>
    <w:rsid w:val="00A76A15"/>
    <w:rsid w:val="00A80D6F"/>
    <w:rsid w:val="00A97001"/>
    <w:rsid w:val="00AA1608"/>
    <w:rsid w:val="00AA659E"/>
    <w:rsid w:val="00AC5EB3"/>
    <w:rsid w:val="00AD4E4D"/>
    <w:rsid w:val="00AE1BF1"/>
    <w:rsid w:val="00AE2492"/>
    <w:rsid w:val="00AE4DF8"/>
    <w:rsid w:val="00AF0E5F"/>
    <w:rsid w:val="00B00738"/>
    <w:rsid w:val="00B0165F"/>
    <w:rsid w:val="00B133A2"/>
    <w:rsid w:val="00B16748"/>
    <w:rsid w:val="00B256C8"/>
    <w:rsid w:val="00B25822"/>
    <w:rsid w:val="00B263E9"/>
    <w:rsid w:val="00B410C9"/>
    <w:rsid w:val="00B42A2F"/>
    <w:rsid w:val="00B446B4"/>
    <w:rsid w:val="00B51DD8"/>
    <w:rsid w:val="00B55190"/>
    <w:rsid w:val="00B57787"/>
    <w:rsid w:val="00B623D3"/>
    <w:rsid w:val="00B74C17"/>
    <w:rsid w:val="00B877F4"/>
    <w:rsid w:val="00B97CED"/>
    <w:rsid w:val="00BA5724"/>
    <w:rsid w:val="00BA7E59"/>
    <w:rsid w:val="00BB63C6"/>
    <w:rsid w:val="00BB66B1"/>
    <w:rsid w:val="00BC2F2A"/>
    <w:rsid w:val="00BC4A1B"/>
    <w:rsid w:val="00BD4D6A"/>
    <w:rsid w:val="00BD6661"/>
    <w:rsid w:val="00BE7F1A"/>
    <w:rsid w:val="00BF1235"/>
    <w:rsid w:val="00BF1C58"/>
    <w:rsid w:val="00C07197"/>
    <w:rsid w:val="00C32B0F"/>
    <w:rsid w:val="00C45A10"/>
    <w:rsid w:val="00C47F19"/>
    <w:rsid w:val="00C55812"/>
    <w:rsid w:val="00C645DC"/>
    <w:rsid w:val="00C7218F"/>
    <w:rsid w:val="00C73C75"/>
    <w:rsid w:val="00C740CB"/>
    <w:rsid w:val="00C854B5"/>
    <w:rsid w:val="00C9076B"/>
    <w:rsid w:val="00C93B14"/>
    <w:rsid w:val="00CA7581"/>
    <w:rsid w:val="00CA78D0"/>
    <w:rsid w:val="00CB2A6C"/>
    <w:rsid w:val="00CB2C7C"/>
    <w:rsid w:val="00CC02BC"/>
    <w:rsid w:val="00CC15CC"/>
    <w:rsid w:val="00CD0A8B"/>
    <w:rsid w:val="00CD0E32"/>
    <w:rsid w:val="00CD32CC"/>
    <w:rsid w:val="00CD7B86"/>
    <w:rsid w:val="00CE02FE"/>
    <w:rsid w:val="00CE05D1"/>
    <w:rsid w:val="00CF2069"/>
    <w:rsid w:val="00D01659"/>
    <w:rsid w:val="00D10AAE"/>
    <w:rsid w:val="00D10EA1"/>
    <w:rsid w:val="00D112AB"/>
    <w:rsid w:val="00D15696"/>
    <w:rsid w:val="00D157C5"/>
    <w:rsid w:val="00D22531"/>
    <w:rsid w:val="00D32F40"/>
    <w:rsid w:val="00D3574A"/>
    <w:rsid w:val="00D4642D"/>
    <w:rsid w:val="00D553A7"/>
    <w:rsid w:val="00D564F4"/>
    <w:rsid w:val="00D602AD"/>
    <w:rsid w:val="00D901E2"/>
    <w:rsid w:val="00D958B5"/>
    <w:rsid w:val="00D976FD"/>
    <w:rsid w:val="00DA29D9"/>
    <w:rsid w:val="00DC5CC5"/>
    <w:rsid w:val="00DC678A"/>
    <w:rsid w:val="00DD6E2F"/>
    <w:rsid w:val="00DF0F64"/>
    <w:rsid w:val="00DF6523"/>
    <w:rsid w:val="00DF657F"/>
    <w:rsid w:val="00DF7710"/>
    <w:rsid w:val="00DF7CEA"/>
    <w:rsid w:val="00E0793D"/>
    <w:rsid w:val="00E10B43"/>
    <w:rsid w:val="00E211B8"/>
    <w:rsid w:val="00E24279"/>
    <w:rsid w:val="00E27B70"/>
    <w:rsid w:val="00E36176"/>
    <w:rsid w:val="00E379CA"/>
    <w:rsid w:val="00E44160"/>
    <w:rsid w:val="00E44969"/>
    <w:rsid w:val="00E453EA"/>
    <w:rsid w:val="00E55CD8"/>
    <w:rsid w:val="00E60083"/>
    <w:rsid w:val="00E703D4"/>
    <w:rsid w:val="00E77472"/>
    <w:rsid w:val="00E807D3"/>
    <w:rsid w:val="00E83628"/>
    <w:rsid w:val="00E85DDD"/>
    <w:rsid w:val="00EA1A99"/>
    <w:rsid w:val="00EA5A6C"/>
    <w:rsid w:val="00EB4BC3"/>
    <w:rsid w:val="00EC2BFC"/>
    <w:rsid w:val="00EC4769"/>
    <w:rsid w:val="00EC7DFC"/>
    <w:rsid w:val="00ED0862"/>
    <w:rsid w:val="00ED4494"/>
    <w:rsid w:val="00EE08DB"/>
    <w:rsid w:val="00EE40A3"/>
    <w:rsid w:val="00EF28F6"/>
    <w:rsid w:val="00F0257F"/>
    <w:rsid w:val="00F05770"/>
    <w:rsid w:val="00F0698C"/>
    <w:rsid w:val="00F23029"/>
    <w:rsid w:val="00F250AD"/>
    <w:rsid w:val="00F32200"/>
    <w:rsid w:val="00F3244D"/>
    <w:rsid w:val="00F35254"/>
    <w:rsid w:val="00F51B36"/>
    <w:rsid w:val="00F61677"/>
    <w:rsid w:val="00F65DCB"/>
    <w:rsid w:val="00F779DF"/>
    <w:rsid w:val="00F86B5F"/>
    <w:rsid w:val="00F87C27"/>
    <w:rsid w:val="00F95E98"/>
    <w:rsid w:val="00FA2357"/>
    <w:rsid w:val="00FA3EFA"/>
    <w:rsid w:val="00FA6115"/>
    <w:rsid w:val="00FB279E"/>
    <w:rsid w:val="00FB41BE"/>
    <w:rsid w:val="00FB61C2"/>
    <w:rsid w:val="00FB6318"/>
    <w:rsid w:val="00FD3CAE"/>
    <w:rsid w:val="00FE4719"/>
    <w:rsid w:val="00FE67CA"/>
    <w:rsid w:val="00FF5ED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D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7EC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A7E59"/>
    <w:pPr>
      <w:ind w:left="720"/>
      <w:contextualSpacing/>
    </w:pPr>
  </w:style>
  <w:style w:type="table" w:styleId="a7">
    <w:name w:val="Table Grid"/>
    <w:basedOn w:val="a1"/>
    <w:uiPriority w:val="59"/>
    <w:rsid w:val="0019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 Знак Знак Знак,Знак Знак Знак"/>
    <w:basedOn w:val="a"/>
    <w:link w:val="a9"/>
    <w:rsid w:val="002068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 Знак Знак,Знак Знак Знак Знак"/>
    <w:basedOn w:val="a0"/>
    <w:link w:val="a8"/>
    <w:rsid w:val="00206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E9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471FE4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71F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471F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Subtitle"/>
    <w:basedOn w:val="a"/>
    <w:link w:val="ad"/>
    <w:qFormat/>
    <w:rsid w:val="0040536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4053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A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1E44"/>
  </w:style>
  <w:style w:type="paragraph" w:styleId="af0">
    <w:name w:val="footer"/>
    <w:basedOn w:val="a"/>
    <w:link w:val="af1"/>
    <w:uiPriority w:val="99"/>
    <w:unhideWhenUsed/>
    <w:rsid w:val="001A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1E44"/>
  </w:style>
  <w:style w:type="paragraph" w:styleId="af2">
    <w:name w:val="Title"/>
    <w:aliases w:val="Знак"/>
    <w:basedOn w:val="a"/>
    <w:link w:val="af3"/>
    <w:qFormat/>
    <w:rsid w:val="000C13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 Знак"/>
    <w:basedOn w:val="a0"/>
    <w:link w:val="af2"/>
    <w:rsid w:val="000C13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3-1">
    <w:name w:val="Medium Grid 3 Accent 1"/>
    <w:basedOn w:val="a1"/>
    <w:uiPriority w:val="69"/>
    <w:rsid w:val="0010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106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106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1"/>
    <w:uiPriority w:val="66"/>
    <w:rsid w:val="00106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10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106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">
    <w:name w:val="Основной текст1"/>
    <w:basedOn w:val="a0"/>
    <w:rsid w:val="00382FA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FE6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4">
    <w:name w:val="page number"/>
    <w:basedOn w:val="a0"/>
    <w:rsid w:val="00453399"/>
  </w:style>
  <w:style w:type="paragraph" w:styleId="23">
    <w:name w:val="Body Text Indent 2"/>
    <w:basedOn w:val="a"/>
    <w:link w:val="24"/>
    <w:uiPriority w:val="99"/>
    <w:semiHidden/>
    <w:unhideWhenUsed/>
    <w:rsid w:val="00EA5A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5A6C"/>
  </w:style>
  <w:style w:type="paragraph" w:styleId="af5">
    <w:name w:val="Body Text Indent"/>
    <w:basedOn w:val="a"/>
    <w:link w:val="af6"/>
    <w:uiPriority w:val="99"/>
    <w:semiHidden/>
    <w:unhideWhenUsed/>
    <w:rsid w:val="00940FB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40FBF"/>
  </w:style>
  <w:style w:type="paragraph" w:customStyle="1" w:styleId="ConsPlusNormal">
    <w:name w:val="ConsPlusNormal"/>
    <w:rsid w:val="00522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голграф"/>
    <w:basedOn w:val="3"/>
    <w:rsid w:val="00430273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02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1-1">
    <w:name w:val="Medium Shading 1 Accent 1"/>
    <w:basedOn w:val="a1"/>
    <w:uiPriority w:val="63"/>
    <w:rsid w:val="00E453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8">
    <w:name w:val="Emphasis"/>
    <w:basedOn w:val="a0"/>
    <w:uiPriority w:val="20"/>
    <w:qFormat/>
    <w:rsid w:val="00514F61"/>
    <w:rPr>
      <w:i/>
      <w:iCs/>
    </w:rPr>
  </w:style>
  <w:style w:type="paragraph" w:customStyle="1" w:styleId="desc">
    <w:name w:val="desc"/>
    <w:basedOn w:val="a"/>
    <w:rsid w:val="00C3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D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7EC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A7E59"/>
    <w:pPr>
      <w:ind w:left="720"/>
      <w:contextualSpacing/>
    </w:pPr>
  </w:style>
  <w:style w:type="table" w:styleId="a7">
    <w:name w:val="Table Grid"/>
    <w:basedOn w:val="a1"/>
    <w:uiPriority w:val="59"/>
    <w:rsid w:val="0019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 Знак Знак Знак,Знак Знак Знак"/>
    <w:basedOn w:val="a"/>
    <w:link w:val="a9"/>
    <w:rsid w:val="002068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 Знак Знак,Знак Знак Знак Знак"/>
    <w:basedOn w:val="a0"/>
    <w:link w:val="a8"/>
    <w:rsid w:val="00206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E9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471FE4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71F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471F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Subtitle"/>
    <w:basedOn w:val="a"/>
    <w:link w:val="ad"/>
    <w:qFormat/>
    <w:rsid w:val="0040536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4053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A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1E44"/>
  </w:style>
  <w:style w:type="paragraph" w:styleId="af0">
    <w:name w:val="footer"/>
    <w:basedOn w:val="a"/>
    <w:link w:val="af1"/>
    <w:uiPriority w:val="99"/>
    <w:unhideWhenUsed/>
    <w:rsid w:val="001A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1E44"/>
  </w:style>
  <w:style w:type="paragraph" w:styleId="af2">
    <w:name w:val="Title"/>
    <w:aliases w:val="Знак"/>
    <w:basedOn w:val="a"/>
    <w:link w:val="af3"/>
    <w:qFormat/>
    <w:rsid w:val="000C13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 Знак"/>
    <w:basedOn w:val="a0"/>
    <w:link w:val="af2"/>
    <w:rsid w:val="000C13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3-1">
    <w:name w:val="Medium Grid 3 Accent 1"/>
    <w:basedOn w:val="a1"/>
    <w:uiPriority w:val="69"/>
    <w:rsid w:val="0010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106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106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1"/>
    <w:uiPriority w:val="66"/>
    <w:rsid w:val="00106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10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106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">
    <w:name w:val="Основной текст1"/>
    <w:basedOn w:val="a0"/>
    <w:rsid w:val="00382FA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FE6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4">
    <w:name w:val="page number"/>
    <w:basedOn w:val="a0"/>
    <w:rsid w:val="00453399"/>
  </w:style>
  <w:style w:type="paragraph" w:styleId="23">
    <w:name w:val="Body Text Indent 2"/>
    <w:basedOn w:val="a"/>
    <w:link w:val="24"/>
    <w:uiPriority w:val="99"/>
    <w:semiHidden/>
    <w:unhideWhenUsed/>
    <w:rsid w:val="00EA5A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5A6C"/>
  </w:style>
  <w:style w:type="paragraph" w:styleId="af5">
    <w:name w:val="Body Text Indent"/>
    <w:basedOn w:val="a"/>
    <w:link w:val="af6"/>
    <w:uiPriority w:val="99"/>
    <w:semiHidden/>
    <w:unhideWhenUsed/>
    <w:rsid w:val="00940FB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40FBF"/>
  </w:style>
  <w:style w:type="paragraph" w:customStyle="1" w:styleId="ConsPlusNormal">
    <w:name w:val="ConsPlusNormal"/>
    <w:rsid w:val="00522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голграф"/>
    <w:basedOn w:val="3"/>
    <w:rsid w:val="00430273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02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1-1">
    <w:name w:val="Medium Shading 1 Accent 1"/>
    <w:basedOn w:val="a1"/>
    <w:uiPriority w:val="63"/>
    <w:rsid w:val="00E453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8">
    <w:name w:val="Emphasis"/>
    <w:basedOn w:val="a0"/>
    <w:uiPriority w:val="20"/>
    <w:qFormat/>
    <w:rsid w:val="00514F61"/>
    <w:rPr>
      <w:i/>
      <w:iCs/>
    </w:rPr>
  </w:style>
  <w:style w:type="paragraph" w:customStyle="1" w:styleId="desc">
    <w:name w:val="desc"/>
    <w:basedOn w:val="a"/>
    <w:rsid w:val="00C3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yperlink" Target="http://trud.samregion.ru/home/slugba/centrzan/czn.aspx?CZNF=MjI50&amp;mel=43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.ru/science/index/Pages/Zubets_Pubs.aspx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://tgl.ru/documentation/obj?obj=31728" TargetMode="Externa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onomy.samregion.ru/activity/mun_razv/reitingi/gorodskie-okruga/" TargetMode="External"/><Relationship Id="rId24" Type="http://schemas.openxmlformats.org/officeDocument/2006/relationships/hyperlink" Target="http://tgl.ru/documentation/obj?obj=32789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://www.portal.tgl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a.ru/science/index/SiteAssets/Pages/Zubets_Pubs/73_Russian_Cities_Life_Quality.pdf" TargetMode="Externa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://invest.tgl.ru/toser/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://economy.samregion.ru/activity/mun_razv/reitingi/gorodskie-okruga/" TargetMode="External"/><Relationship Id="rId27" Type="http://schemas.openxmlformats.org/officeDocument/2006/relationships/hyperlink" Target="https://www.samregion.ru/press_center/news/v-oblastnom-pravitelstve-proshlo-rasshirennoe-zasedanie-kollegii-ministerstva-ekonomicheskogo-razvitiya-i-investitsij-samarskoj-oblasti/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63;&#1048;&#1045;%20&#1085;&#1086;&#1074;&#1099;&#1077;\36.&#1058;&#1088;&#1091;&#1076;\&#1055;4%20(&#1053;&#1047;)\1.%20&#1044;&#1086;&#1082;&#1083;&#1072;&#1076;&#1099;\2018\3%20&#1082;&#1074;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40"/>
      <c:rotY val="1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12034737268578"/>
          <c:y val="0.39228782969293013"/>
          <c:w val="0.58372509644348147"/>
          <c:h val="0.54318642723616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предприятий и организаций городского округа Тольятти по видам экономической деятельности на 01.10.2018г.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3838010181613206E-2"/>
                  <c:y val="-0.20845103023539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6596698902570065"/>
                  <c:y val="-0.131852563705127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12612587856048196"/>
                  <c:y val="-1.03637340608014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0821645616445595"/>
                  <c:y val="3.40820881641763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2.8678504113160353E-2"/>
                  <c:y val="-6.863620393907454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5.7621060790220016E-2"/>
                  <c:y val="5.31452662905325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5.5947259948211168E-2"/>
                  <c:y val="5.78283423233514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7.9131568285507936E-2"/>
                  <c:y val="3.74707051778710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-0.10992918670401099"/>
                  <c:y val="-5.55273110546221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-0.13601983476897603"/>
                  <c:y val="-0.114106649012343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-0.15653155771635929"/>
                  <c:y val="-0.136835100336867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-0.12251457661752012"/>
                  <c:y val="-0.1762194391055448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5.5340062357977478E-3"/>
                  <c:y val="-0.1004108541550416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3"/>
              <c:layout>
                <c:manualLayout>
                  <c:x val="3.7843717521886942E-2"/>
                  <c:y val="-0.217991815983631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4"/>
              <c:layout>
                <c:manualLayout>
                  <c:x val="0.19109848685021755"/>
                  <c:y val="-0.21237357141380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5"/>
              <c:layout>
                <c:manualLayout>
                  <c:x val="0.15806936884567291"/>
                  <c:y val="-4.81358629383925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Лист1!$A$2:$A$17</c:f>
              <c:strCache>
                <c:ptCount val="16"/>
                <c:pt idx="0">
                  <c:v>Сельское и лесное хозяйство</c:v>
                </c:pt>
                <c:pt idx="1">
                  <c:v>Обрабатывающие производства</c:v>
                </c:pt>
                <c:pt idx="2">
                  <c:v>Водоснабжение, водоотведение, отходы</c:v>
                </c:pt>
                <c:pt idx="3">
                  <c:v>Строительство</c:v>
                </c:pt>
                <c:pt idx="4">
                  <c:v>Торговля оптовая и розничная</c:v>
                </c:pt>
                <c:pt idx="5">
                  <c:v>Транспортировка и хранение</c:v>
                </c:pt>
                <c:pt idx="6">
                  <c:v>Гостиницы и общ. питание</c:v>
                </c:pt>
                <c:pt idx="7">
                  <c:v>Информация и связь</c:v>
                </c:pt>
                <c:pt idx="8">
                  <c:v>Финансы и страховка</c:v>
                </c:pt>
                <c:pt idx="9">
                  <c:v>Недвижимость</c:v>
                </c:pt>
                <c:pt idx="10">
                  <c:v>Научная деятельность</c:v>
                </c:pt>
                <c:pt idx="11">
                  <c:v>Административная деятельность</c:v>
                </c:pt>
                <c:pt idx="12">
                  <c:v>Образование</c:v>
                </c:pt>
                <c:pt idx="13">
                  <c:v>Здравоохранение и соц.услуги</c:v>
                </c:pt>
                <c:pt idx="14">
                  <c:v>Культура, спорт, досуг</c:v>
                </c:pt>
                <c:pt idx="15">
                  <c:v>Иные виды услуг</c:v>
                </c:pt>
              </c:strCache>
            </c:strRef>
          </c:cat>
          <c:val>
            <c:numRef>
              <c:f>Лист1!$B$2:$B$17</c:f>
              <c:numCache>
                <c:formatCode>0.0%</c:formatCode>
                <c:ptCount val="16"/>
                <c:pt idx="0" formatCode="0.00%">
                  <c:v>5.7999999999999996E-3</c:v>
                </c:pt>
                <c:pt idx="1">
                  <c:v>5.3999999999999999E-2</c:v>
                </c:pt>
                <c:pt idx="2">
                  <c:v>2E-3</c:v>
                </c:pt>
                <c:pt idx="3">
                  <c:v>6.0999999999999999E-2</c:v>
                </c:pt>
                <c:pt idx="4">
                  <c:v>0.44600000000000001</c:v>
                </c:pt>
                <c:pt idx="5">
                  <c:v>0.126</c:v>
                </c:pt>
                <c:pt idx="6">
                  <c:v>2.5999999999999999E-2</c:v>
                </c:pt>
                <c:pt idx="7">
                  <c:v>3.3000000000000002E-2</c:v>
                </c:pt>
                <c:pt idx="8">
                  <c:v>8.0000000000000002E-3</c:v>
                </c:pt>
                <c:pt idx="9">
                  <c:v>4.2000000000000003E-2</c:v>
                </c:pt>
                <c:pt idx="10">
                  <c:v>6.6000000000000003E-2</c:v>
                </c:pt>
                <c:pt idx="11">
                  <c:v>3.2000000000000001E-2</c:v>
                </c:pt>
                <c:pt idx="12">
                  <c:v>8.9999999999999993E-3</c:v>
                </c:pt>
                <c:pt idx="13">
                  <c:v>5.0000000000000001E-3</c:v>
                </c:pt>
                <c:pt idx="14">
                  <c:v>1.4999999999999999E-2</c:v>
                </c:pt>
                <c:pt idx="15" formatCode="0.00%">
                  <c:v>6.8099999999999994E-2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Оборот организаций Тольятти за январь-сентябрь 2018 г.</a:t>
            </a:r>
          </a:p>
        </c:rich>
      </c:tx>
      <c:layout/>
      <c:overlay val="0"/>
    </c:title>
    <c:autoTitleDeleted val="0"/>
    <c:view3D>
      <c:rotX val="50"/>
      <c:rotY val="140"/>
      <c:rAngAx val="0"/>
      <c:perspective val="8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75308813270589"/>
          <c:y val="0.24246388844251612"/>
          <c:w val="0.73565506954802451"/>
          <c:h val="0.59882425411109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организаций Тольятти за январь-сентябрь 2018 г.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4646264840881927E-2"/>
                  <c:y val="-2.07360811742107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2.9039336047337681E-2"/>
                  <c:y val="-6.32912506048475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5.3393398758704594E-2"/>
                  <c:y val="8.44293904602706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Автозаводский район</c:v>
                </c:pt>
                <c:pt idx="1">
                  <c:v>Центральный район</c:v>
                </c:pt>
                <c:pt idx="2">
                  <c:v>Комсомольский район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0.63800000000000001</c:v>
                </c:pt>
                <c:pt idx="1">
                  <c:v>0.23699999999999999</c:v>
                </c:pt>
                <c:pt idx="2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53674751330241"/>
          <c:y val="0.34784786882628266"/>
          <c:w val="0.61493598412557993"/>
          <c:h val="0.505304232408211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422201438303361E-2"/>
                  <c:y val="-0.116461083999481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905690006570962E-3"/>
                  <c:y val="-0.418847711970786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связи с сокращением численности работников
3,3%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8255119795418832E-2"/>
                  <c:y val="-0.149158208836062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собственному желанию
76,6%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9.214220413459550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'стр 7'!$A$3:$A$6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'стр 7'!$S$3:$S$6</c:f>
              <c:numCache>
                <c:formatCode>General</c:formatCode>
                <c:ptCount val="4"/>
                <c:pt idx="0">
                  <c:v>3205</c:v>
                </c:pt>
                <c:pt idx="1">
                  <c:v>955</c:v>
                </c:pt>
                <c:pt idx="2">
                  <c:v>22499</c:v>
                </c:pt>
                <c:pt idx="3">
                  <c:v>2697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Состав безработных граждан по уровню образования 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на конец сентября 2018 года, человек</a:t>
            </a:r>
          </a:p>
        </c:rich>
      </c:tx>
      <c:layout/>
      <c:overlay val="0"/>
    </c:title>
    <c:autoTitleDeleted val="0"/>
    <c:view3D>
      <c:rotX val="3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116984352365791"/>
          <c:y val="0.33939632545931758"/>
          <c:w val="0.66703375364792683"/>
          <c:h val="0.574694688899181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граждан по уровню образования на конец сентября 2018 года, человек
</c:v>
                </c:pt>
              </c:strCache>
            </c:strRef>
          </c:tx>
          <c:explosion val="25"/>
          <c:dPt>
            <c:idx val="1"/>
            <c:bubble3D val="0"/>
            <c:explosion val="3"/>
          </c:dPt>
          <c:dLbls>
            <c:dLbl>
              <c:idx val="0"/>
              <c:layout>
                <c:manualLayout>
                  <c:x val="7.1917381084544582E-2"/>
                  <c:y val="-4.854955957730414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63600493646907E-2"/>
                  <c:y val="-4.1360583603520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848495439375561"/>
                  <c:y val="7.69667862197853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2825846679719596"/>
                  <c:y val="-2.27714704266617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650007747242677"/>
                  <c:y val="6.00512726606848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  <c:pt idx="2">
                  <c:v>Среднее общее образование</c:v>
                </c:pt>
                <c:pt idx="3">
                  <c:v>Основное общее образование</c:v>
                </c:pt>
                <c:pt idx="4">
                  <c:v>Не имеющие основного общего образования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0.39100000000000001</c:v>
                </c:pt>
                <c:pt idx="1">
                  <c:v>0.39500000000000002</c:v>
                </c:pt>
                <c:pt idx="2">
                  <c:v>0.14299999999999999</c:v>
                </c:pt>
                <c:pt idx="3">
                  <c:v>6.6000000000000003E-2</c:v>
                </c:pt>
                <c:pt idx="4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малых предприятий по видам деятельности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(без учета микропредприятий) г. Тольятти  за 2018 год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11536101923991"/>
          <c:y val="0"/>
        </c:manualLayout>
      </c:layout>
      <c:overlay val="0"/>
    </c:title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91555383345096"/>
          <c:y val="0.35854117711725825"/>
          <c:w val="0.55787258578617915"/>
          <c:h val="0.499068531260090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малых предприятий по видам деятельности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2367417166000123E-2"/>
                  <c:y val="0.209819570982946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6597336580730568"/>
                  <c:y val="4.79199131522172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2.5457011195217469E-2"/>
                  <c:y val="0.129461186461639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1924774781008261"/>
                  <c:y val="-1.03714391721977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20963572875007497"/>
                  <c:y val="-0.1279528933228896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5.8952622134886917E-2"/>
                  <c:y val="-0.108512456885297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7.1382773111181838E-2"/>
                  <c:y val="-0.102801665498618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6.0141427839973428E-3"/>
                  <c:y val="-0.115183520908054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.13900760647449825"/>
                  <c:y val="-0.1780912726223358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9.184829488581063E-2"/>
                  <c:y val="-8.63484080196781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9.9330224319499602E-2"/>
                  <c:y val="1.01977436066564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8.2541457361766504E-2"/>
                  <c:y val="9.74220499924420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6.8946671648469252E-2"/>
                  <c:y val="0.2077860686262384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Лист1!$A$2:$A$14</c:f>
              <c:strCache>
                <c:ptCount val="13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Торговля опт. и розн.; ремонт автотранспорта</c:v>
                </c:pt>
                <c:pt idx="3">
                  <c:v>Транспортировка и хранение</c:v>
                </c:pt>
                <c:pt idx="4">
                  <c:v>Гостиницы и рестораны</c:v>
                </c:pt>
                <c:pt idx="5">
                  <c:v>Информация и связь</c:v>
                </c:pt>
                <c:pt idx="6">
                  <c:v>Недвижимое имущество</c:v>
                </c:pt>
                <c:pt idx="7">
                  <c:v>Науч. и тех. деятельность</c:v>
                </c:pt>
                <c:pt idx="8">
                  <c:v>Админ. деятельность</c:v>
                </c:pt>
                <c:pt idx="9">
                  <c:v>Здравоохранение и соц.услуги</c:v>
                </c:pt>
                <c:pt idx="10">
                  <c:v>Культура, спорт, досуг</c:v>
                </c:pt>
                <c:pt idx="11">
                  <c:v>Прочие услуги</c:v>
                </c:pt>
                <c:pt idx="12">
                  <c:v>Иные виды деятельности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0.16</c:v>
                </c:pt>
                <c:pt idx="1">
                  <c:v>0.126</c:v>
                </c:pt>
                <c:pt idx="2">
                  <c:v>0.33200000000000002</c:v>
                </c:pt>
                <c:pt idx="3">
                  <c:v>6.6000000000000003E-2</c:v>
                </c:pt>
                <c:pt idx="4">
                  <c:v>4.4999999999999998E-2</c:v>
                </c:pt>
                <c:pt idx="5">
                  <c:v>2.5999999999999999E-2</c:v>
                </c:pt>
                <c:pt idx="6">
                  <c:v>7.3999999999999996E-2</c:v>
                </c:pt>
                <c:pt idx="7">
                  <c:v>4.1000000000000002E-2</c:v>
                </c:pt>
                <c:pt idx="8">
                  <c:v>6.7000000000000004E-2</c:v>
                </c:pt>
                <c:pt idx="9">
                  <c:v>1.9E-2</c:v>
                </c:pt>
                <c:pt idx="10">
                  <c:v>5.0000000000000001E-3</c:v>
                </c:pt>
                <c:pt idx="11">
                  <c:v>1.2E-2</c:v>
                </c:pt>
                <c:pt idx="12">
                  <c:v>2.8000000000000001E-2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собственных доходов в 2018 году</a:t>
            </a:r>
          </a:p>
        </c:rich>
      </c:tx>
      <c:layout/>
      <c:overlay val="0"/>
    </c:title>
    <c:autoTitleDeleted val="0"/>
    <c:view3D>
      <c:rotX val="4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64698832288821"/>
          <c:y val="0.30557007767104466"/>
          <c:w val="0.60429237639937861"/>
          <c:h val="0.54284656627697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 в 2018 году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2809463455851288E-2"/>
                  <c:y val="8.68876283829450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2.2467392468798544E-2"/>
                  <c:y val="9.0495587236931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7.8158005914659892E-2"/>
                  <c:y val="2.36966824644549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0835217026443124"/>
                  <c:y val="2.72198790833426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7.2191690324423727E-2"/>
                  <c:y val="9.137439795585632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0.14575411913814956"/>
                  <c:y val="-6.05581885202738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4.6256829503454923E-2"/>
                  <c:y val="-0.1072547321605165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5.4921841994085341E-2"/>
                  <c:y val="-7.37230121116377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.10489079490063742"/>
                  <c:y val="-8.936526773257212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0.15868498580534576"/>
                  <c:y val="3.990677336412377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2.9573299535276723E-2"/>
                  <c:y val="0.105318588730911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НИФЛ</c:v>
                </c:pt>
                <c:pt idx="4">
                  <c:v>Земельный налог</c:v>
                </c:pt>
                <c:pt idx="5">
                  <c:v>Гос.пошлина</c:v>
                </c:pt>
                <c:pt idx="6">
                  <c:v>Аренда имущества</c:v>
                </c:pt>
                <c:pt idx="7">
                  <c:v>Продажа зем.участков</c:v>
                </c:pt>
                <c:pt idx="8">
                  <c:v>Штрафы, санкции</c:v>
                </c:pt>
                <c:pt idx="9">
                  <c:v>Прочие доходы *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0.54532098430174969</c:v>
                </c:pt>
                <c:pt idx="1">
                  <c:v>7.8659459865748384E-3</c:v>
                </c:pt>
                <c:pt idx="2">
                  <c:v>4.5621941180963278E-2</c:v>
                </c:pt>
                <c:pt idx="3">
                  <c:v>8.7082767081803292E-2</c:v>
                </c:pt>
                <c:pt idx="4">
                  <c:v>0.12563570700317261</c:v>
                </c:pt>
                <c:pt idx="5">
                  <c:v>2.9678803543350521E-2</c:v>
                </c:pt>
                <c:pt idx="6">
                  <c:v>9.4625783003119288E-2</c:v>
                </c:pt>
                <c:pt idx="7">
                  <c:v>1.2730809377004106E-2</c:v>
                </c:pt>
                <c:pt idx="8">
                  <c:v>1.3267106655723514E-2</c:v>
                </c:pt>
                <c:pt idx="9">
                  <c:v>3.8170151866538805E-2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</a:rPr>
              <a:t>Функциональная структура расходов в 2018 году</a:t>
            </a:r>
          </a:p>
        </c:rich>
      </c:tx>
      <c:layout/>
      <c:overlay val="0"/>
    </c:title>
    <c:autoTitleDeleted val="0"/>
    <c:view3D>
      <c:rotX val="3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91731585413525"/>
          <c:y val="0.21768051052441975"/>
          <c:w val="0.57382779778857418"/>
          <c:h val="0.512295081967213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Функциональная структура расходов в 2018 году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6542553191489359E-2"/>
                  <c:y val="0.119535519125683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2.4379432624113476E-2"/>
                  <c:y val="0.116120218579234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1.1081560283687944E-2"/>
                  <c:y val="9.22131147540983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5.7624113475177305E-2"/>
                  <c:y val="6.14754098360655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3.3356194504942205E-2"/>
                  <c:y val="-2.39071038251366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6.4913336963198745E-2"/>
                  <c:y val="6.830601092896174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2.2161375439772157E-3"/>
                  <c:y val="-0.1468579234972677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4.4326241134751775E-2"/>
                  <c:y val="-0.1844262295081967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5.9195077344055394E-2"/>
                  <c:y val="-0.1024590163934426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5.9840425531914897E-2"/>
                  <c:y val="1.02459016393441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5.7446459485117549E-2"/>
                  <c:y val="0.112704918032786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Общегос.вопросы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Охрана окруж.среды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Физ.культура и спорт</c:v>
                </c:pt>
                <c:pt idx="9">
                  <c:v>СМИ</c:v>
                </c:pt>
                <c:pt idx="10">
                  <c:v>Обслуживание мун.долга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 formatCode="0.0%">
                  <c:v>0.10576358366818454</c:v>
                </c:pt>
                <c:pt idx="1">
                  <c:v>9.957744858709941E-3</c:v>
                </c:pt>
                <c:pt idx="2" formatCode="0.0%">
                  <c:v>0.15302980775155117</c:v>
                </c:pt>
                <c:pt idx="3" formatCode="0.0%">
                  <c:v>7.9364060427098038E-2</c:v>
                </c:pt>
                <c:pt idx="4" formatCode="0.00%">
                  <c:v>3.3432005553081918E-4</c:v>
                </c:pt>
                <c:pt idx="5" formatCode="0.0%">
                  <c:v>0.54507113899792614</c:v>
                </c:pt>
                <c:pt idx="6" formatCode="0.0%">
                  <c:v>3.9384966432930962E-2</c:v>
                </c:pt>
                <c:pt idx="7" formatCode="0.0%">
                  <c:v>3.3381470565114708E-2</c:v>
                </c:pt>
                <c:pt idx="8" formatCode="0.0%">
                  <c:v>1.5150632203322441E-3</c:v>
                </c:pt>
                <c:pt idx="9" formatCode="0.0%">
                  <c:v>6.7137173203283889E-4</c:v>
                </c:pt>
                <c:pt idx="10" formatCode="0.0%">
                  <c:v>3.1526472290588622E-2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оборота общественного питания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районам г.о. Тольятти </a:t>
            </a:r>
            <a:r>
              <a:rPr lang="ru-RU" sz="1200" b="1" i="0" u="none" strike="noStrike" baseline="0">
                <a:effectLst/>
              </a:rPr>
              <a:t>в январе-сентябре 2018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57887559428735"/>
          <c:y val="0.36734428196475438"/>
          <c:w val="0.58154329215249234"/>
          <c:h val="0.433227146606674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оборота общественного питания по районам г.о. Тольятти в 2016 году, 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01442168483388"/>
                  <c:y val="3.99673040869891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6.5619565568363708E-2"/>
                  <c:y val="-3.180378314779617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9087527503701757"/>
                  <c:y val="2.66413250067879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Автозаводский район</c:v>
                </c:pt>
                <c:pt idx="1">
                  <c:v>Центральный район</c:v>
                </c:pt>
                <c:pt idx="2">
                  <c:v>Комсомольский район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0.88300000000000001</c:v>
                </c:pt>
                <c:pt idx="1">
                  <c:v>9.6000000000000002E-2</c:v>
                </c:pt>
                <c:pt idx="2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Структура общего объема основных видов платных услуг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январе-сентябре 2018 года, % к общему объему</a:t>
            </a:r>
          </a:p>
        </c:rich>
      </c:tx>
      <c:layout/>
      <c:overlay val="0"/>
    </c:title>
    <c:autoTitleDeleted val="0"/>
    <c:view3D>
      <c:rotX val="3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903851442890467"/>
          <c:y val="0.31577394386211277"/>
          <c:w val="0.54500972792372504"/>
          <c:h val="0.457159786844826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общего объема основных видов платных услуг за январь-сентябрь 2018 года, % к общему объему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4675820761732079E-3"/>
                  <c:y val="-1.10483785680636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2.1197536271743523E-2"/>
                  <c:y val="-4.45453933642910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3.880554025397031E-2"/>
                  <c:y val="4.39430648092065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1.5874044551015484E-2"/>
                  <c:y val="0.145021535769567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23176362333750972"/>
                  <c:y val="0.195044220015976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7.7450061627160768E-2"/>
                  <c:y val="2.99888736733995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9.156454893332383E-2"/>
                  <c:y val="1.45674098430003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0.14223311025319765"/>
                  <c:y val="2.19323546095199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-0.25583607514778633"/>
                  <c:y val="-8.48838606712622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-0.12819451093839659"/>
                  <c:y val="-7.83572726486112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-1.1374879886456546E-2"/>
                  <c:y val="-0.107963187293895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9.2455801515376621E-2"/>
                  <c:y val="-7.22392948963221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Лист1!$A$2:$A$13</c:f>
              <c:strCache>
                <c:ptCount val="12"/>
                <c:pt idx="0">
                  <c:v>Услуги образования</c:v>
                </c:pt>
                <c:pt idx="1">
                  <c:v>Услуги средств размещения</c:v>
                </c:pt>
                <c:pt idx="2">
                  <c:v>Медицинские услуги</c:v>
                </c:pt>
                <c:pt idx="3">
                  <c:v>Услуги физической культуры и спорта</c:v>
                </c:pt>
                <c:pt idx="4">
                  <c:v>Услуги учреждений культуры</c:v>
                </c:pt>
                <c:pt idx="5">
                  <c:v>Коммунальные услуги</c:v>
                </c:pt>
                <c:pt idx="6">
                  <c:v>Жилищные услуги</c:v>
                </c:pt>
                <c:pt idx="7">
                  <c:v>Телекоммуникационные услуги</c:v>
                </c:pt>
                <c:pt idx="8">
                  <c:v>Улуги связи</c:v>
                </c:pt>
                <c:pt idx="9">
                  <c:v>Транспортные услуги</c:v>
                </c:pt>
                <c:pt idx="10">
                  <c:v>Бытовые услуги населению</c:v>
                </c:pt>
                <c:pt idx="11">
                  <c:v>Прочие услуги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 formatCode="0.0%">
                  <c:v>0.129</c:v>
                </c:pt>
                <c:pt idx="1">
                  <c:v>0.01</c:v>
                </c:pt>
                <c:pt idx="2" formatCode="0.0%">
                  <c:v>6.7000000000000004E-2</c:v>
                </c:pt>
                <c:pt idx="3" formatCode="0.0%">
                  <c:v>7.0000000000000001E-3</c:v>
                </c:pt>
                <c:pt idx="4" formatCode="0.0%">
                  <c:v>1.2999999999999999E-2</c:v>
                </c:pt>
                <c:pt idx="5" formatCode="0.0%">
                  <c:v>0.433</c:v>
                </c:pt>
                <c:pt idx="6" formatCode="0.0%">
                  <c:v>0.108</c:v>
                </c:pt>
                <c:pt idx="7" formatCode="0.0%">
                  <c:v>0.13100000000000001</c:v>
                </c:pt>
                <c:pt idx="8" formatCode="0.0%">
                  <c:v>1.4E-2</c:v>
                </c:pt>
                <c:pt idx="9" formatCode="0.0%">
                  <c:v>0.06</c:v>
                </c:pt>
                <c:pt idx="10" formatCode="0.0%">
                  <c:v>1.6E-2</c:v>
                </c:pt>
                <c:pt idx="11" formatCode="0.0%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5908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Атемаскина</dc:creator>
  <cp:lastModifiedBy>Валентина Г. Атемаскина</cp:lastModifiedBy>
  <cp:revision>3</cp:revision>
  <cp:lastPrinted>2018-05-03T12:01:00Z</cp:lastPrinted>
  <dcterms:created xsi:type="dcterms:W3CDTF">2019-03-20T10:59:00Z</dcterms:created>
  <dcterms:modified xsi:type="dcterms:W3CDTF">2019-03-20T11:06:00Z</dcterms:modified>
</cp:coreProperties>
</file>