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7C" w:rsidRDefault="00CA337C" w:rsidP="00CA33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</w:t>
      </w:r>
    </w:p>
    <w:p w:rsidR="00CA337C" w:rsidRDefault="00CA337C" w:rsidP="00CA33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CA337C" w:rsidRDefault="00CA337C" w:rsidP="00CA33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информацию администрации городского округа Тольятти</w:t>
      </w:r>
    </w:p>
    <w:p w:rsidR="00721759" w:rsidRDefault="00721759" w:rsidP="00CA33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721759">
        <w:rPr>
          <w:rFonts w:ascii="Times New Roman" w:hAnsi="Times New Roman"/>
          <w:b/>
          <w:sz w:val="26"/>
          <w:szCs w:val="26"/>
        </w:rPr>
        <w:t xml:space="preserve">о мероприятиях муниципальной программы «Молодежь Тольятти </w:t>
      </w:r>
    </w:p>
    <w:p w:rsidR="00721759" w:rsidRDefault="00721759" w:rsidP="00CA33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721759">
        <w:rPr>
          <w:rFonts w:ascii="Times New Roman" w:hAnsi="Times New Roman"/>
          <w:b/>
          <w:sz w:val="26"/>
          <w:szCs w:val="26"/>
        </w:rPr>
        <w:t>на 2021-2030 гг.» утвержденной постановлением администрации городского округа Тольятти от 09</w:t>
      </w:r>
      <w:r>
        <w:rPr>
          <w:rFonts w:ascii="Times New Roman" w:hAnsi="Times New Roman"/>
          <w:b/>
          <w:sz w:val="26"/>
          <w:szCs w:val="26"/>
        </w:rPr>
        <w:t>.10.</w:t>
      </w:r>
      <w:r w:rsidRPr="00721759">
        <w:rPr>
          <w:rFonts w:ascii="Times New Roman" w:hAnsi="Times New Roman"/>
          <w:b/>
          <w:sz w:val="26"/>
          <w:szCs w:val="26"/>
        </w:rPr>
        <w:t>2020 года №3066-п/1</w:t>
      </w:r>
      <w:r>
        <w:rPr>
          <w:rFonts w:ascii="Times New Roman" w:hAnsi="Times New Roman"/>
          <w:b/>
          <w:sz w:val="26"/>
          <w:szCs w:val="26"/>
        </w:rPr>
        <w:t>,</w:t>
      </w:r>
      <w:r w:rsidR="00CA0E42">
        <w:rPr>
          <w:rFonts w:ascii="Times New Roman" w:hAnsi="Times New Roman"/>
          <w:b/>
          <w:sz w:val="26"/>
          <w:szCs w:val="26"/>
        </w:rPr>
        <w:t xml:space="preserve"> на 2022 год</w:t>
      </w:r>
    </w:p>
    <w:p w:rsidR="00CA337C" w:rsidRDefault="00721759" w:rsidP="00CA33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CA337C">
        <w:rPr>
          <w:rFonts w:ascii="Times New Roman" w:hAnsi="Times New Roman"/>
          <w:b/>
          <w:sz w:val="26"/>
          <w:szCs w:val="26"/>
        </w:rPr>
        <w:t>(Д-</w:t>
      </w:r>
      <w:r>
        <w:rPr>
          <w:rFonts w:ascii="Times New Roman" w:hAnsi="Times New Roman"/>
          <w:b/>
          <w:sz w:val="26"/>
          <w:szCs w:val="26"/>
        </w:rPr>
        <w:t>311</w:t>
      </w:r>
      <w:r w:rsidR="00CA337C">
        <w:rPr>
          <w:rFonts w:ascii="Times New Roman" w:hAnsi="Times New Roman"/>
          <w:b/>
          <w:sz w:val="26"/>
          <w:szCs w:val="26"/>
        </w:rPr>
        <w:t xml:space="preserve"> от 2</w:t>
      </w:r>
      <w:r>
        <w:rPr>
          <w:rFonts w:ascii="Times New Roman" w:hAnsi="Times New Roman"/>
          <w:b/>
          <w:sz w:val="26"/>
          <w:szCs w:val="26"/>
        </w:rPr>
        <w:t>1.10</w:t>
      </w:r>
      <w:r w:rsidR="00CA337C">
        <w:rPr>
          <w:rFonts w:ascii="Times New Roman" w:hAnsi="Times New Roman"/>
          <w:b/>
          <w:sz w:val="26"/>
          <w:szCs w:val="26"/>
        </w:rPr>
        <w:t>.2021)</w:t>
      </w:r>
    </w:p>
    <w:p w:rsidR="00CA337C" w:rsidRDefault="00CA337C" w:rsidP="00CA337C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21759" w:rsidRDefault="00721759" w:rsidP="00721759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информацию администрации городского округа Тольятти о мероприятиях муниципальной программы «Молодежь Тольятти на 2021-2030 годы», утвержденной постановлением администрации городского округа Тольятти от 09.10.2020 № 3066-п/1, на 2022 год, необходимо отметить следующее. </w:t>
      </w:r>
    </w:p>
    <w:p w:rsidR="00701E04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Согласно пункту 34 части 1 статьи 16 Федерального закона от 06.10.2003 </w:t>
      </w:r>
      <w:r>
        <w:rPr>
          <w:rFonts w:ascii="Times New Roman" w:hAnsi="Times New Roman"/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 к вопросам местного значения городского округа относится организация и осуществление мероприятий по работе с детьми и молодежью в городском округе. 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Аналогичная норма предусмотрена </w:t>
      </w:r>
      <w:r w:rsidR="00701E04">
        <w:rPr>
          <w:rFonts w:ascii="Times New Roman" w:hAnsi="Times New Roman"/>
          <w:sz w:val="26"/>
          <w:szCs w:val="26"/>
        </w:rPr>
        <w:t xml:space="preserve">пунктом 34 </w:t>
      </w:r>
      <w:r>
        <w:rPr>
          <w:rFonts w:ascii="Times New Roman" w:hAnsi="Times New Roman"/>
          <w:sz w:val="26"/>
          <w:szCs w:val="26"/>
        </w:rPr>
        <w:t>стать</w:t>
      </w:r>
      <w:r w:rsidR="00701E04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7 Устава городского округа Тольятти.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Муниципальная программа «Молодежь Тольятти на 2021-2030 годы» (далее – Программа) утверждена постановлением администрации городского округа Тольятти от 09.10.2020 № 3066-п/1. 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Цель Программы: совершенствование правовых, социально-экономических и организационных условий для успешной самореализации молодежи, раскрытия ее потенциала и повышения роли молодежи в жизни города.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Достижение цели обеспечивается за счет решения следующих задач: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формирование нравственных и гражданских ценностей, развитие в молодежной среде культуры созидательных межэтнических отношений;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формирование ценностей здорового образа жизни, а также повышение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уровня культуры безопасности жизнедеятельности молодежи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создание условий для реализации потенциала молодежи в социально-экономической сфере, внедрение технологии </w:t>
      </w:r>
      <w:r w:rsidR="00BF0428">
        <w:rPr>
          <w:rFonts w:ascii="Times New Roman" w:hAnsi="Times New Roman"/>
          <w:sz w:val="26"/>
          <w:szCs w:val="26"/>
          <w:lang w:eastAsia="ru-RU"/>
        </w:rPr>
        <w:t>«</w:t>
      </w:r>
      <w:r>
        <w:rPr>
          <w:rFonts w:ascii="Times New Roman" w:hAnsi="Times New Roman"/>
          <w:sz w:val="26"/>
          <w:szCs w:val="26"/>
          <w:lang w:eastAsia="ru-RU"/>
        </w:rPr>
        <w:t>социального лифта</w:t>
      </w:r>
      <w:r w:rsidR="00BF0428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формирование информационного поля, повышение эффективности использования информационной инфраструктуры в интересах воспитания молодежи;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обеспечение социальной поддержки организациям, осуществляющим деятельность в сфере молодежной политики, создание материально-технических условий для реализации деятельности.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Общие координация и руководство реализацией Программы осуществляются департаментом образования администрации городского округа Тольятти.</w:t>
      </w:r>
    </w:p>
    <w:p w:rsidR="00B5683B" w:rsidRDefault="005620B2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620B2">
        <w:rPr>
          <w:rFonts w:ascii="Times New Roman" w:hAnsi="Times New Roman"/>
          <w:sz w:val="26"/>
          <w:szCs w:val="26"/>
          <w:lang w:eastAsia="ru-RU"/>
        </w:rPr>
        <w:t xml:space="preserve">Деятельность департамента образования администрации в сфере молодежной политики обеспечивает муниципальное бюджетное учреждение городского округа </w:t>
      </w:r>
      <w:r w:rsidRPr="005620B2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Тольятти молодежный многофункциональный центр «Шанс» (далее – МБУ ММЦ «Шанс»). </w:t>
      </w:r>
    </w:p>
    <w:p w:rsidR="00B5683B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Как следует из представленной информации, </w:t>
      </w:r>
      <w:r w:rsidR="00B5683B">
        <w:rPr>
          <w:rFonts w:ascii="Times New Roman" w:hAnsi="Times New Roman"/>
          <w:sz w:val="26"/>
          <w:szCs w:val="26"/>
        </w:rPr>
        <w:t>о</w:t>
      </w:r>
      <w:r w:rsidR="00B5683B" w:rsidRPr="00B5683B">
        <w:rPr>
          <w:rFonts w:ascii="Times New Roman" w:hAnsi="Times New Roman"/>
          <w:sz w:val="26"/>
          <w:szCs w:val="26"/>
        </w:rPr>
        <w:t xml:space="preserve">бщий объем финансирования утвержденной программы за счет средств бюджета городского округа Тольятти составляет на 2022 год 39459,5 тыс. руб. (в доведенных предельных объемах бюджетных ассигнований в соответствии с решением Думы городского округа Тольятти от 17.02.2021   № 841 </w:t>
      </w:r>
      <w:r w:rsidR="00B5683B">
        <w:rPr>
          <w:rFonts w:ascii="Times New Roman" w:hAnsi="Times New Roman"/>
          <w:sz w:val="26"/>
          <w:szCs w:val="26"/>
        </w:rPr>
        <w:t>-</w:t>
      </w:r>
      <w:r w:rsidR="00B5683B" w:rsidRPr="00B5683B">
        <w:rPr>
          <w:rFonts w:ascii="Times New Roman" w:hAnsi="Times New Roman"/>
          <w:sz w:val="26"/>
          <w:szCs w:val="26"/>
        </w:rPr>
        <w:t xml:space="preserve"> 33063,0 тыс. руб.).</w:t>
      </w:r>
      <w:proofErr w:type="gramEnd"/>
    </w:p>
    <w:p w:rsidR="00721759" w:rsidRDefault="00B5683B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</w:t>
      </w:r>
      <w:r w:rsidR="00721759">
        <w:rPr>
          <w:rFonts w:ascii="Times New Roman" w:hAnsi="Times New Roman"/>
          <w:sz w:val="26"/>
          <w:szCs w:val="26"/>
          <w:lang w:eastAsia="ru-RU"/>
        </w:rPr>
        <w:t xml:space="preserve"> том числе по задачам: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«Формирование нравственных и гражданских ценностей, развитие в молодежной среде культуры созидательных межэтнических отношений» -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br/>
        <w:t xml:space="preserve">1 410,5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  <w:r w:rsidR="00B5683B">
        <w:rPr>
          <w:rFonts w:ascii="Times New Roman" w:hAnsi="Times New Roman"/>
          <w:sz w:val="26"/>
          <w:szCs w:val="26"/>
          <w:lang w:eastAsia="ru-RU"/>
        </w:rPr>
        <w:t xml:space="preserve"> (к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>оличество мероприятий 125 ед., с охватом участников 7600 и более человек</w:t>
      </w:r>
      <w:r w:rsidR="00B5683B">
        <w:rPr>
          <w:rFonts w:ascii="Times New Roman" w:hAnsi="Times New Roman"/>
          <w:sz w:val="26"/>
          <w:szCs w:val="26"/>
          <w:lang w:eastAsia="ru-RU"/>
        </w:rPr>
        <w:t>);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«Развитие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молодежи» -</w:t>
      </w:r>
      <w:r>
        <w:rPr>
          <w:rFonts w:ascii="Times New Roman" w:hAnsi="Times New Roman"/>
          <w:sz w:val="26"/>
          <w:szCs w:val="26"/>
          <w:lang w:eastAsia="ru-RU"/>
        </w:rPr>
        <w:t xml:space="preserve"> 1 314,0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  <w:r w:rsidR="00B5683B" w:rsidRPr="00B5683B">
        <w:t xml:space="preserve"> </w:t>
      </w:r>
      <w:r w:rsidR="00B5683B">
        <w:rPr>
          <w:rFonts w:ascii="Times New Roman" w:hAnsi="Times New Roman"/>
          <w:sz w:val="26"/>
          <w:szCs w:val="26"/>
          <w:lang w:eastAsia="ru-RU"/>
        </w:rPr>
        <w:t>(к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>оличество мероприятий 52 ед., с охватом участников 4500 и более человек</w:t>
      </w:r>
      <w:r w:rsidR="00B5683B">
        <w:rPr>
          <w:rFonts w:ascii="Times New Roman" w:hAnsi="Times New Roman"/>
          <w:sz w:val="26"/>
          <w:szCs w:val="26"/>
          <w:lang w:eastAsia="ru-RU"/>
        </w:rPr>
        <w:t>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«Формирование ценностей здорового образа жизни, а также повышение уровня культуры безопасности жизнедеятельности молодежи» -</w:t>
      </w:r>
      <w:r>
        <w:rPr>
          <w:rFonts w:ascii="Times New Roman" w:hAnsi="Times New Roman"/>
          <w:sz w:val="26"/>
          <w:szCs w:val="26"/>
          <w:lang w:eastAsia="ru-RU"/>
        </w:rPr>
        <w:t xml:space="preserve"> 1 132,0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  <w:r w:rsidR="00B5683B">
        <w:rPr>
          <w:rFonts w:ascii="Times New Roman" w:hAnsi="Times New Roman"/>
          <w:sz w:val="26"/>
          <w:szCs w:val="26"/>
          <w:lang w:eastAsia="ru-RU"/>
        </w:rPr>
        <w:t xml:space="preserve"> (к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>оличество мероприятий 90 ед., с охватом участников 8100 и более человек</w:t>
      </w:r>
      <w:r w:rsidR="00B5683B">
        <w:rPr>
          <w:rFonts w:ascii="Times New Roman" w:hAnsi="Times New Roman"/>
          <w:sz w:val="26"/>
          <w:szCs w:val="26"/>
          <w:lang w:eastAsia="ru-RU"/>
        </w:rPr>
        <w:t>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5683B" w:rsidRDefault="00721759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«Создание условий для реализации потенциала молодежи в социально-экономической сфере, внедрение технологии </w:t>
      </w:r>
      <w:r w:rsidR="00B5683B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социального лифта»</w:t>
      </w:r>
      <w:r w:rsidR="00B5683B">
        <w:rPr>
          <w:rFonts w:ascii="Times New Roman" w:hAnsi="Times New Roman"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 xml:space="preserve"> </w:t>
      </w:r>
      <w:r w:rsidR="00B5683B">
        <w:rPr>
          <w:rFonts w:ascii="Times New Roman" w:hAnsi="Times New Roman"/>
          <w:sz w:val="26"/>
          <w:szCs w:val="26"/>
        </w:rPr>
        <w:t>на выполнение мероприятий по о</w:t>
      </w:r>
      <w:r w:rsidR="00B5683B" w:rsidRPr="00B5683B">
        <w:rPr>
          <w:rFonts w:ascii="Times New Roman" w:hAnsi="Times New Roman"/>
          <w:sz w:val="26"/>
          <w:szCs w:val="26"/>
        </w:rPr>
        <w:t>рганизаци</w:t>
      </w:r>
      <w:r w:rsidR="00B5683B">
        <w:rPr>
          <w:rFonts w:ascii="Times New Roman" w:hAnsi="Times New Roman"/>
          <w:sz w:val="26"/>
          <w:szCs w:val="26"/>
        </w:rPr>
        <w:t>и</w:t>
      </w:r>
      <w:r w:rsidR="00B5683B" w:rsidRPr="00B5683B">
        <w:rPr>
          <w:rFonts w:ascii="Times New Roman" w:hAnsi="Times New Roman"/>
          <w:sz w:val="26"/>
          <w:szCs w:val="26"/>
        </w:rPr>
        <w:t xml:space="preserve"> и проведени</w:t>
      </w:r>
      <w:r w:rsidR="00B5683B">
        <w:rPr>
          <w:rFonts w:ascii="Times New Roman" w:hAnsi="Times New Roman"/>
          <w:sz w:val="26"/>
          <w:szCs w:val="26"/>
        </w:rPr>
        <w:t>ю</w:t>
      </w:r>
      <w:r w:rsidR="00B5683B" w:rsidRPr="00B5683B">
        <w:rPr>
          <w:rFonts w:ascii="Times New Roman" w:hAnsi="Times New Roman"/>
          <w:sz w:val="26"/>
          <w:szCs w:val="26"/>
        </w:rPr>
        <w:t xml:space="preserve"> мероприятий с несовершеннолетними в период каникул и свободное от учебы время</w:t>
      </w:r>
      <w:r>
        <w:rPr>
          <w:rFonts w:ascii="Times New Roman" w:hAnsi="Times New Roman"/>
          <w:sz w:val="26"/>
          <w:szCs w:val="26"/>
        </w:rPr>
        <w:t xml:space="preserve">- </w:t>
      </w:r>
      <w:r w:rsidR="00B5683B" w:rsidRPr="00B5683B">
        <w:rPr>
          <w:rFonts w:ascii="Times New Roman" w:hAnsi="Times New Roman"/>
          <w:sz w:val="26"/>
          <w:szCs w:val="26"/>
        </w:rPr>
        <w:t xml:space="preserve">398,0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  <w:r w:rsidR="00B5683B">
        <w:rPr>
          <w:rFonts w:ascii="Times New Roman" w:hAnsi="Times New Roman"/>
          <w:sz w:val="26"/>
          <w:szCs w:val="26"/>
          <w:lang w:eastAsia="ru-RU"/>
        </w:rPr>
        <w:t xml:space="preserve"> (к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>оличество мероприятий 75 ед., с охватом участников 6200 и более человек</w:t>
      </w:r>
      <w:r w:rsidR="00B5683B">
        <w:rPr>
          <w:rFonts w:ascii="Times New Roman" w:hAnsi="Times New Roman"/>
          <w:sz w:val="26"/>
          <w:szCs w:val="26"/>
          <w:lang w:eastAsia="ru-RU"/>
        </w:rPr>
        <w:t xml:space="preserve">), на 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 xml:space="preserve">выполнение </w:t>
      </w:r>
      <w:r w:rsidR="00B5683B">
        <w:rPr>
          <w:rFonts w:ascii="Times New Roman" w:hAnsi="Times New Roman"/>
          <w:sz w:val="26"/>
          <w:szCs w:val="26"/>
          <w:lang w:eastAsia="ru-RU"/>
        </w:rPr>
        <w:t xml:space="preserve">мероприятий 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>по</w:t>
      </w:r>
      <w:r w:rsidR="00B5683B" w:rsidRPr="00B5683B">
        <w:t xml:space="preserve"> </w:t>
      </w:r>
      <w:r w:rsidR="00B5683B">
        <w:rPr>
          <w:rFonts w:ascii="Times New Roman" w:hAnsi="Times New Roman"/>
          <w:sz w:val="26"/>
          <w:szCs w:val="26"/>
          <w:lang w:eastAsia="ru-RU"/>
        </w:rPr>
        <w:t>о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>рганизаци</w:t>
      </w:r>
      <w:r w:rsidR="00B5683B">
        <w:rPr>
          <w:rFonts w:ascii="Times New Roman" w:hAnsi="Times New Roman"/>
          <w:sz w:val="26"/>
          <w:szCs w:val="26"/>
          <w:lang w:eastAsia="ru-RU"/>
        </w:rPr>
        <w:t>и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 xml:space="preserve"> и проведени</w:t>
      </w:r>
      <w:r w:rsidR="00B5683B">
        <w:rPr>
          <w:rFonts w:ascii="Times New Roman" w:hAnsi="Times New Roman"/>
          <w:sz w:val="26"/>
          <w:szCs w:val="26"/>
          <w:lang w:eastAsia="ru-RU"/>
        </w:rPr>
        <w:t>ю</w:t>
      </w:r>
      <w:r w:rsidR="00B5683B" w:rsidRPr="00B5683B">
        <w:rPr>
          <w:rFonts w:ascii="Times New Roman" w:hAnsi="Times New Roman"/>
          <w:sz w:val="26"/>
          <w:szCs w:val="26"/>
          <w:lang w:eastAsia="ru-RU"/>
        </w:rPr>
        <w:t xml:space="preserve"> мероприятий с несовершеннолетними в период каникул и свободное от учебы время</w:t>
      </w:r>
      <w:r w:rsidR="00B5683B"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6255,0 тыс. руб. - 980 договоров</w:t>
      </w:r>
      <w:r w:rsidR="00F37B5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Планируется заключение 365 договоров на трудоустройство несовершеннолетних граждан в возрасте от 14 до 18 лет (на уровне 2021 года).</w:t>
      </w:r>
      <w:r w:rsidR="00F37B5F">
        <w:rPr>
          <w:rFonts w:ascii="Times New Roman" w:hAnsi="Times New Roman"/>
          <w:sz w:val="26"/>
          <w:szCs w:val="26"/>
          <w:lang w:eastAsia="ru-RU"/>
        </w:rPr>
        <w:t xml:space="preserve"> Кроме того, 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в 2022 году Программой предусмотрено из средств областного бюджета 8199 тыс. руб.</w:t>
      </w:r>
      <w:r w:rsidR="00F37B5F">
        <w:rPr>
          <w:rFonts w:ascii="Times New Roman" w:hAnsi="Times New Roman"/>
          <w:sz w:val="26"/>
          <w:szCs w:val="26"/>
          <w:lang w:eastAsia="ru-RU"/>
        </w:rPr>
        <w:t>;</w:t>
      </w:r>
    </w:p>
    <w:p w:rsidR="00721759" w:rsidRDefault="00721759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«Формирование информационного поля, повышение эффективности использования информационной инфраструктуры в интересах воспитания молодежи»- </w:t>
      </w:r>
      <w:r>
        <w:rPr>
          <w:rFonts w:ascii="Times New Roman" w:hAnsi="Times New Roman"/>
          <w:sz w:val="26"/>
          <w:szCs w:val="26"/>
          <w:lang w:eastAsia="ru-RU"/>
        </w:rPr>
        <w:t>260,0 тыс. руб.</w:t>
      </w:r>
      <w:r w:rsidR="00F37B5F">
        <w:rPr>
          <w:rFonts w:ascii="Times New Roman" w:hAnsi="Times New Roman"/>
          <w:sz w:val="26"/>
          <w:szCs w:val="26"/>
          <w:lang w:eastAsia="ru-RU"/>
        </w:rPr>
        <w:t xml:space="preserve"> (к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оличество мероприятий 23 ед., с охватом у</w:t>
      </w:r>
      <w:r w:rsidR="00F37B5F">
        <w:rPr>
          <w:rFonts w:ascii="Times New Roman" w:hAnsi="Times New Roman"/>
          <w:sz w:val="26"/>
          <w:szCs w:val="26"/>
          <w:lang w:eastAsia="ru-RU"/>
        </w:rPr>
        <w:t>частников 53000 и более человек)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37B5F" w:rsidRDefault="00721759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«Обеспечение социальной поддержки организациям, осуществляющим деятельность в сфере молодежной политики, создание материально-технических условий для реализации деятельности»</w:t>
      </w:r>
      <w:r w:rsidR="00F37B5F">
        <w:rPr>
          <w:rFonts w:ascii="Times New Roman" w:hAnsi="Times New Roman"/>
          <w:sz w:val="26"/>
          <w:szCs w:val="26"/>
        </w:rPr>
        <w:t xml:space="preserve">: </w:t>
      </w:r>
    </w:p>
    <w:p w:rsidR="00F37B5F" w:rsidRPr="00F37B5F" w:rsidRDefault="00F37B5F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на р</w:t>
      </w:r>
      <w:r w:rsidRPr="00F37B5F">
        <w:rPr>
          <w:rFonts w:ascii="Times New Roman" w:hAnsi="Times New Roman"/>
          <w:sz w:val="26"/>
          <w:szCs w:val="26"/>
          <w:lang w:eastAsia="ru-RU"/>
        </w:rPr>
        <w:t>еализаци</w:t>
      </w:r>
      <w:r>
        <w:rPr>
          <w:rFonts w:ascii="Times New Roman" w:hAnsi="Times New Roman"/>
          <w:sz w:val="26"/>
          <w:szCs w:val="26"/>
          <w:lang w:eastAsia="ru-RU"/>
        </w:rPr>
        <w:t>ю</w:t>
      </w:r>
      <w:r w:rsidRPr="00F37B5F">
        <w:rPr>
          <w:rFonts w:ascii="Times New Roman" w:hAnsi="Times New Roman"/>
          <w:sz w:val="26"/>
          <w:szCs w:val="26"/>
          <w:lang w:eastAsia="ru-RU"/>
        </w:rPr>
        <w:t xml:space="preserve"> мероприятий организациями, осуществляющими деятельность в сфере молодежной политики, которые за счет собственных и партнерских ресурсов осуществляют различные формы работы с населением, направленные на развитие общественного участия в жизни города предусмотрено 1150 тыс. 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F37B5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16DA6" w:rsidRDefault="00716DA6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37B5F">
        <w:rPr>
          <w:rFonts w:ascii="Times New Roman" w:hAnsi="Times New Roman"/>
          <w:sz w:val="26"/>
          <w:szCs w:val="26"/>
          <w:lang w:eastAsia="ru-RU"/>
        </w:rPr>
        <w:t>е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жемесячные выплаты матерям (или другим родственникам, фактически осуществляющим уход за ребенком), находящимся в отпуске по уходу за ребенком до </w:t>
      </w:r>
      <w:proofErr w:type="gramStart"/>
      <w:r w:rsidR="00F37B5F" w:rsidRPr="00F37B5F">
        <w:rPr>
          <w:rFonts w:ascii="Times New Roman" w:hAnsi="Times New Roman"/>
          <w:sz w:val="26"/>
          <w:szCs w:val="26"/>
          <w:lang w:eastAsia="ru-RU"/>
        </w:rPr>
        <w:t>достижения</w:t>
      </w:r>
      <w:proofErr w:type="gramEnd"/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 им установленного законом возраста и состоящим в трудовых 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lastRenderedPageBreak/>
        <w:t>отношениях на условиях трудового договора с муниципальными бюджетными учреждениями, находящимися в ведомственном подчинении Департамента образования администрации городского округа Тольятти предусмотрено 50 тыс. 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716DA6" w:rsidRDefault="00716DA6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содержание МБУ ММЦ «Шанс» предусмотрено 27040 тыс. 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F37B5F" w:rsidRPr="00F37B5F" w:rsidRDefault="00716DA6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п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роведение мероприятий по текущему ремонту помещений МБУ ММЦ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Шанс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  предусмотрено 250 тыс. 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37B5F" w:rsidRDefault="00716DA6" w:rsidP="00716DA6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п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роведение мероприятий по обновлению материально-технической базы МБУ ММЦ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>Шанс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="00F37B5F" w:rsidRPr="00F37B5F">
        <w:rPr>
          <w:rFonts w:ascii="Times New Roman" w:hAnsi="Times New Roman"/>
          <w:sz w:val="26"/>
          <w:szCs w:val="26"/>
          <w:lang w:eastAsia="ru-RU"/>
        </w:rPr>
        <w:t xml:space="preserve"> предусмотрено 200 тыс. руб. 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721759" w:rsidRDefault="00721759" w:rsidP="0072175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2 статьи 77 </w:t>
      </w:r>
      <w:r>
        <w:rPr>
          <w:rFonts w:ascii="Times New Roman" w:eastAsia="Arial Unicode MS" w:hAnsi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>
        <w:rPr>
          <w:rFonts w:ascii="Times New Roman" w:hAnsi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721759" w:rsidRDefault="00721759" w:rsidP="0072175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Согласно статье 137 Регламента Думы р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>
        <w:rPr>
          <w:rFonts w:ascii="Times New Roman" w:hAnsi="Times New Roman"/>
          <w:iCs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hAnsi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 xml:space="preserve">В соответствии с планом текущей деятельности Думы на 4 квартал 2020 года, утвержденным решением Думы от </w:t>
      </w:r>
      <w:r w:rsidR="00716DA6">
        <w:rPr>
          <w:rFonts w:ascii="Times New Roman" w:eastAsia="Arial Unicode MS" w:hAnsi="Times New Roman"/>
          <w:sz w:val="26"/>
          <w:szCs w:val="26"/>
        </w:rPr>
        <w:t>22.09.2021</w:t>
      </w:r>
      <w:r>
        <w:rPr>
          <w:rFonts w:ascii="Times New Roman" w:eastAsia="Arial Unicode MS" w:hAnsi="Times New Roman"/>
          <w:sz w:val="26"/>
          <w:szCs w:val="26"/>
        </w:rPr>
        <w:t xml:space="preserve"> № </w:t>
      </w:r>
      <w:r w:rsidR="00716DA6">
        <w:rPr>
          <w:rFonts w:ascii="Times New Roman" w:eastAsia="Arial Unicode MS" w:hAnsi="Times New Roman"/>
          <w:sz w:val="26"/>
          <w:szCs w:val="26"/>
        </w:rPr>
        <w:t>1055</w:t>
      </w:r>
      <w:r>
        <w:rPr>
          <w:rFonts w:ascii="Times New Roman" w:eastAsia="Arial Unicode MS" w:hAnsi="Times New Roman"/>
          <w:sz w:val="26"/>
          <w:szCs w:val="26"/>
        </w:rPr>
        <w:t>, рассмотрение представленного вопроса запланировано на заседании Думы городского округа Тольятти  2</w:t>
      </w:r>
      <w:r w:rsidR="00CA0E42">
        <w:rPr>
          <w:rFonts w:ascii="Times New Roman" w:eastAsia="Arial Unicode MS" w:hAnsi="Times New Roman"/>
          <w:sz w:val="26"/>
          <w:szCs w:val="26"/>
        </w:rPr>
        <w:t>4</w:t>
      </w:r>
      <w:bookmarkStart w:id="0" w:name="_GoBack"/>
      <w:bookmarkEnd w:id="0"/>
      <w:r>
        <w:rPr>
          <w:rFonts w:ascii="Times New Roman" w:eastAsia="Arial Unicode MS" w:hAnsi="Times New Roman"/>
          <w:sz w:val="26"/>
          <w:szCs w:val="26"/>
        </w:rPr>
        <w:t>.11.202</w:t>
      </w:r>
      <w:r w:rsidR="00716DA6">
        <w:rPr>
          <w:rFonts w:ascii="Times New Roman" w:eastAsia="Arial Unicode MS" w:hAnsi="Times New Roman"/>
          <w:sz w:val="26"/>
          <w:szCs w:val="26"/>
        </w:rPr>
        <w:t>1</w:t>
      </w:r>
      <w:r>
        <w:rPr>
          <w:rFonts w:ascii="Times New Roman" w:eastAsia="Arial Unicode MS" w:hAnsi="Times New Roman"/>
          <w:sz w:val="26"/>
          <w:szCs w:val="26"/>
        </w:rPr>
        <w:t>.</w:t>
      </w:r>
    </w:p>
    <w:p w:rsidR="00721759" w:rsidRDefault="00721759" w:rsidP="0072175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>
        <w:rPr>
          <w:rFonts w:ascii="Times New Roman" w:hAnsi="Times New Roman"/>
          <w:iCs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hAnsi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Рассматриваемый вопрос относится к предметам ведения постоянной комиссии по социальной политике. </w:t>
      </w:r>
    </w:p>
    <w:p w:rsidR="00721759" w:rsidRDefault="00721759" w:rsidP="0072175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Вывод</w:t>
      </w:r>
      <w:r>
        <w:rPr>
          <w:rFonts w:ascii="Times New Roman" w:hAnsi="Times New Roman"/>
          <w:sz w:val="26"/>
          <w:szCs w:val="26"/>
        </w:rPr>
        <w:t>: вопрос относится к компетенции Думы городского округа Тольятти и может быть рассмотрен на её заседании.</w:t>
      </w:r>
    </w:p>
    <w:p w:rsidR="00CA337C" w:rsidRDefault="00CA337C" w:rsidP="00CA337C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A337C" w:rsidRDefault="00CA337C" w:rsidP="00CA337C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Е.В. Смирнова</w:t>
      </w:r>
    </w:p>
    <w:p w:rsidR="00CA337C" w:rsidRDefault="00CA337C" w:rsidP="00CA337C">
      <w:pPr>
        <w:pStyle w:val="a3"/>
        <w:jc w:val="both"/>
        <w:rPr>
          <w:rFonts w:ascii="Times New Roman" w:hAnsi="Times New Roman"/>
        </w:rPr>
      </w:pPr>
    </w:p>
    <w:p w:rsidR="00CA337C" w:rsidRDefault="00CA337C" w:rsidP="00CA337C">
      <w:pPr>
        <w:pStyle w:val="a3"/>
        <w:jc w:val="both"/>
        <w:rPr>
          <w:rFonts w:ascii="Times New Roman" w:hAnsi="Times New Roman"/>
        </w:rPr>
      </w:pPr>
    </w:p>
    <w:p w:rsidR="004D27E7" w:rsidRDefault="00CA337C" w:rsidP="00716DA6">
      <w:pPr>
        <w:pStyle w:val="a3"/>
        <w:jc w:val="both"/>
      </w:pPr>
      <w:r>
        <w:rPr>
          <w:rFonts w:ascii="Times New Roman" w:hAnsi="Times New Roman"/>
        </w:rPr>
        <w:t>Абросимова,</w:t>
      </w:r>
      <w:r w:rsidR="00716DA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28-06-68</w:t>
      </w:r>
    </w:p>
    <w:sectPr w:rsidR="004D27E7" w:rsidSect="0067709A">
      <w:pgSz w:w="11906" w:h="16838"/>
      <w:pgMar w:top="1021" w:right="566" w:bottom="851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37C"/>
    <w:rsid w:val="00037B0D"/>
    <w:rsid w:val="00075793"/>
    <w:rsid w:val="00077B22"/>
    <w:rsid w:val="000C28E8"/>
    <w:rsid w:val="00152BC5"/>
    <w:rsid w:val="002F15D8"/>
    <w:rsid w:val="00366461"/>
    <w:rsid w:val="003B6B3C"/>
    <w:rsid w:val="004D27E7"/>
    <w:rsid w:val="005620B2"/>
    <w:rsid w:val="0067709A"/>
    <w:rsid w:val="00697027"/>
    <w:rsid w:val="006A6930"/>
    <w:rsid w:val="00701E04"/>
    <w:rsid w:val="00716DA6"/>
    <w:rsid w:val="00721759"/>
    <w:rsid w:val="00735075"/>
    <w:rsid w:val="008363C8"/>
    <w:rsid w:val="00863896"/>
    <w:rsid w:val="00886101"/>
    <w:rsid w:val="008A2F53"/>
    <w:rsid w:val="008A505F"/>
    <w:rsid w:val="0094612C"/>
    <w:rsid w:val="009676C0"/>
    <w:rsid w:val="00A01C8B"/>
    <w:rsid w:val="00A97FC2"/>
    <w:rsid w:val="00AB5E29"/>
    <w:rsid w:val="00B56624"/>
    <w:rsid w:val="00B5683B"/>
    <w:rsid w:val="00BE37EB"/>
    <w:rsid w:val="00BF0428"/>
    <w:rsid w:val="00CA0E42"/>
    <w:rsid w:val="00CA337C"/>
    <w:rsid w:val="00CC0DE6"/>
    <w:rsid w:val="00D0111D"/>
    <w:rsid w:val="00E31EFD"/>
    <w:rsid w:val="00E535CA"/>
    <w:rsid w:val="00F21C7D"/>
    <w:rsid w:val="00F3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37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3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Оксана Абросимова</cp:lastModifiedBy>
  <cp:revision>6</cp:revision>
  <cp:lastPrinted>2021-10-25T07:53:00Z</cp:lastPrinted>
  <dcterms:created xsi:type="dcterms:W3CDTF">2021-10-25T06:42:00Z</dcterms:created>
  <dcterms:modified xsi:type="dcterms:W3CDTF">2021-10-25T07:54:00Z</dcterms:modified>
</cp:coreProperties>
</file>