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57B" w:rsidRPr="00B0057B" w:rsidRDefault="00B0057B" w:rsidP="00B0057B">
      <w:pPr>
        <w:spacing w:after="0" w:line="240" w:lineRule="auto"/>
        <w:ind w:firstLine="567"/>
        <w:jc w:val="center"/>
        <w:rPr>
          <w:rFonts w:eastAsia="Times New Roman"/>
          <w:szCs w:val="28"/>
          <w:lang w:eastAsia="ru-RU"/>
        </w:rPr>
      </w:pPr>
      <w:r w:rsidRPr="00B0057B">
        <w:rPr>
          <w:rFonts w:eastAsia="Times New Roman"/>
          <w:szCs w:val="28"/>
          <w:lang w:eastAsia="ru-RU"/>
        </w:rPr>
        <w:t>ЮРИДИЧЕСКОЕ ЗАКЛЮЧЕНИЕ</w:t>
      </w:r>
    </w:p>
    <w:p w:rsidR="00B0057B" w:rsidRPr="00B0057B" w:rsidRDefault="00B0057B" w:rsidP="00B0057B">
      <w:pPr>
        <w:spacing w:after="0" w:line="240" w:lineRule="auto"/>
        <w:ind w:firstLine="567"/>
        <w:jc w:val="center"/>
        <w:rPr>
          <w:rFonts w:eastAsia="Times New Roman"/>
          <w:szCs w:val="28"/>
          <w:lang w:eastAsia="ru-RU"/>
        </w:rPr>
      </w:pPr>
      <w:r w:rsidRPr="00B0057B">
        <w:rPr>
          <w:rFonts w:eastAsia="Times New Roman"/>
          <w:szCs w:val="28"/>
          <w:lang w:eastAsia="ru-RU"/>
        </w:rPr>
        <w:t>на проект решения Думы городского округа Тольятти</w:t>
      </w:r>
    </w:p>
    <w:p w:rsidR="00B0057B" w:rsidRPr="00B0057B" w:rsidRDefault="00B0057B" w:rsidP="00B0057B">
      <w:pPr>
        <w:spacing w:after="0" w:line="240" w:lineRule="auto"/>
        <w:ind w:firstLine="567"/>
        <w:jc w:val="center"/>
        <w:rPr>
          <w:rFonts w:eastAsia="Times New Roman"/>
          <w:szCs w:val="28"/>
          <w:lang w:eastAsia="ru-RU"/>
        </w:rPr>
      </w:pPr>
      <w:r w:rsidRPr="00B0057B">
        <w:rPr>
          <w:rFonts w:eastAsia="Times New Roman"/>
          <w:szCs w:val="28"/>
          <w:lang w:eastAsia="ru-RU"/>
        </w:rPr>
        <w:t xml:space="preserve">«О внесении изменений в Правила землепользования и застройки городского округа Тольятти, утвержденные решением </w:t>
      </w:r>
    </w:p>
    <w:p w:rsidR="00B0057B" w:rsidRPr="00B0057B" w:rsidRDefault="00B0057B" w:rsidP="00B0057B">
      <w:pPr>
        <w:spacing w:after="0" w:line="240" w:lineRule="auto"/>
        <w:ind w:firstLine="567"/>
        <w:jc w:val="center"/>
        <w:rPr>
          <w:rFonts w:eastAsia="Times New Roman"/>
          <w:szCs w:val="28"/>
          <w:lang w:eastAsia="ru-RU"/>
        </w:rPr>
      </w:pPr>
      <w:r w:rsidRPr="00B0057B">
        <w:rPr>
          <w:rFonts w:eastAsia="Times New Roman"/>
          <w:szCs w:val="28"/>
          <w:lang w:eastAsia="ru-RU"/>
        </w:rPr>
        <w:t>Думы городского округа Тольятти от 24.12.2008 г. № 1059»</w:t>
      </w:r>
    </w:p>
    <w:p w:rsidR="00B0057B" w:rsidRPr="00B0057B" w:rsidRDefault="00B0057B" w:rsidP="00B0057B">
      <w:pPr>
        <w:spacing w:after="0" w:line="240" w:lineRule="auto"/>
        <w:ind w:firstLine="567"/>
        <w:jc w:val="center"/>
        <w:rPr>
          <w:rFonts w:eastAsia="Times New Roman"/>
          <w:szCs w:val="28"/>
          <w:lang w:eastAsia="ru-RU"/>
        </w:rPr>
      </w:pPr>
      <w:r w:rsidRPr="00B0057B">
        <w:rPr>
          <w:rFonts w:eastAsia="Times New Roman"/>
          <w:szCs w:val="28"/>
          <w:lang w:eastAsia="ru-RU"/>
        </w:rPr>
        <w:t xml:space="preserve">(Д - </w:t>
      </w:r>
      <w:r w:rsidR="00AD70BC">
        <w:rPr>
          <w:rFonts w:eastAsia="Times New Roman"/>
          <w:szCs w:val="28"/>
          <w:lang w:eastAsia="ru-RU"/>
        </w:rPr>
        <w:t>263</w:t>
      </w:r>
      <w:r w:rsidRPr="00B0057B">
        <w:rPr>
          <w:rFonts w:eastAsia="Times New Roman"/>
          <w:szCs w:val="28"/>
          <w:lang w:eastAsia="ru-RU"/>
        </w:rPr>
        <w:t xml:space="preserve"> от </w:t>
      </w:r>
      <w:r w:rsidR="00AD70BC">
        <w:rPr>
          <w:rFonts w:eastAsia="Times New Roman"/>
          <w:szCs w:val="28"/>
          <w:lang w:eastAsia="ru-RU"/>
        </w:rPr>
        <w:t>20</w:t>
      </w:r>
      <w:r w:rsidRPr="00B0057B">
        <w:rPr>
          <w:rFonts w:eastAsia="Times New Roman"/>
          <w:szCs w:val="28"/>
          <w:lang w:eastAsia="ru-RU"/>
        </w:rPr>
        <w:t>.0</w:t>
      </w:r>
      <w:r w:rsidR="00AD70BC">
        <w:rPr>
          <w:rFonts w:eastAsia="Times New Roman"/>
          <w:szCs w:val="28"/>
          <w:lang w:eastAsia="ru-RU"/>
        </w:rPr>
        <w:t>9</w:t>
      </w:r>
      <w:r w:rsidRPr="00B0057B">
        <w:rPr>
          <w:rFonts w:eastAsia="Times New Roman"/>
          <w:szCs w:val="28"/>
          <w:lang w:eastAsia="ru-RU"/>
        </w:rPr>
        <w:t>.2021г.)</w:t>
      </w:r>
    </w:p>
    <w:p w:rsidR="00B0057B" w:rsidRPr="00B0057B" w:rsidRDefault="00B0057B" w:rsidP="00B0057B">
      <w:pPr>
        <w:spacing w:after="0" w:line="240" w:lineRule="auto"/>
        <w:ind w:firstLine="567"/>
        <w:jc w:val="center"/>
        <w:rPr>
          <w:rFonts w:eastAsia="Times New Roman"/>
          <w:szCs w:val="28"/>
          <w:lang w:eastAsia="ru-RU"/>
        </w:rPr>
      </w:pPr>
    </w:p>
    <w:p w:rsidR="00B0057B" w:rsidRPr="00B0057B" w:rsidRDefault="00B0057B" w:rsidP="00B0057B">
      <w:pPr>
        <w:spacing w:after="0" w:line="240" w:lineRule="auto"/>
        <w:ind w:firstLine="567"/>
        <w:jc w:val="both"/>
        <w:rPr>
          <w:rFonts w:eastAsia="Times New Roman"/>
          <w:szCs w:val="28"/>
          <w:lang w:eastAsia="ru-RU"/>
        </w:rPr>
      </w:pPr>
      <w:r w:rsidRPr="00B0057B">
        <w:rPr>
          <w:rFonts w:eastAsia="Times New Roman"/>
          <w:szCs w:val="28"/>
          <w:lang w:eastAsia="ru-RU"/>
        </w:rPr>
        <w:t>Рассмотрев проект решения Думы городского округа Тольятти «О внесении изменений в Правила землепользования и застройки городского округа Тольятти, утвержденные решением Думы городского округа Тольятти от 24.12.2008г. №1059» (далее - Правила), необходимо отметить следующее.</w:t>
      </w:r>
    </w:p>
    <w:p w:rsidR="00B0057B" w:rsidRPr="00B0057B" w:rsidRDefault="00B0057B" w:rsidP="00B0057B">
      <w:pPr>
        <w:keepNext/>
        <w:keepLines/>
        <w:spacing w:after="0" w:line="240" w:lineRule="auto"/>
        <w:ind w:firstLine="567"/>
        <w:jc w:val="both"/>
        <w:outlineLvl w:val="0"/>
        <w:rPr>
          <w:rFonts w:eastAsia="Times New Roman"/>
          <w:bCs/>
          <w:szCs w:val="28"/>
          <w:lang w:eastAsia="ru-RU"/>
        </w:rPr>
      </w:pPr>
      <w:r w:rsidRPr="00B0057B">
        <w:rPr>
          <w:rFonts w:eastAsia="Times New Roman"/>
          <w:bCs/>
          <w:szCs w:val="28"/>
          <w:lang w:eastAsia="ru-RU"/>
        </w:rPr>
        <w:t>В соответствии с п.1 ст.32 Градостроительного кодекса РФ Правила утверждаются представительным органом местного самоуправления.</w:t>
      </w:r>
    </w:p>
    <w:p w:rsidR="00B0057B" w:rsidRPr="00B0057B" w:rsidRDefault="00B0057B" w:rsidP="00B0057B">
      <w:pPr>
        <w:spacing w:after="0" w:line="240" w:lineRule="auto"/>
        <w:ind w:firstLine="567"/>
        <w:jc w:val="both"/>
        <w:rPr>
          <w:rFonts w:eastAsia="Times New Roman"/>
          <w:szCs w:val="28"/>
          <w:lang w:eastAsia="ru-RU"/>
        </w:rPr>
      </w:pPr>
      <w:r w:rsidRPr="00B0057B">
        <w:rPr>
          <w:rFonts w:eastAsia="Times New Roman"/>
          <w:szCs w:val="28"/>
          <w:lang w:eastAsia="ru-RU"/>
        </w:rPr>
        <w:t>Согласно п.6 ч.2 ст.25 Устава городского округа Тольятти к полномочиям Думы относится утверждение Правил.</w:t>
      </w:r>
    </w:p>
    <w:p w:rsidR="00B0057B" w:rsidRPr="00B0057B" w:rsidRDefault="00B0057B" w:rsidP="00B0057B">
      <w:pPr>
        <w:spacing w:after="0" w:line="240" w:lineRule="auto"/>
        <w:ind w:firstLine="567"/>
        <w:jc w:val="both"/>
        <w:rPr>
          <w:rFonts w:eastAsia="Times New Roman"/>
          <w:szCs w:val="28"/>
          <w:lang w:eastAsia="ru-RU"/>
        </w:rPr>
      </w:pPr>
      <w:r w:rsidRPr="00B0057B">
        <w:rPr>
          <w:rFonts w:eastAsia="Times New Roman"/>
          <w:szCs w:val="28"/>
          <w:lang w:eastAsia="ru-RU"/>
        </w:rPr>
        <w:t xml:space="preserve">Статьи 31-33 Градостроительного кодекса РФ определяют порядок подготовки проекта Правил, в том числе порядок внесения в них изменений. </w:t>
      </w:r>
    </w:p>
    <w:p w:rsidR="00021E7F" w:rsidRDefault="00B0057B" w:rsidP="00021E7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8"/>
        </w:rPr>
      </w:pPr>
      <w:r w:rsidRPr="00B0057B">
        <w:rPr>
          <w:rFonts w:eastAsia="Times New Roman"/>
          <w:szCs w:val="28"/>
          <w:lang w:eastAsia="ru-RU"/>
        </w:rPr>
        <w:t xml:space="preserve">Представленные изменения подготовлены на основании обращения </w:t>
      </w:r>
      <w:r w:rsidR="00AD70BC">
        <w:rPr>
          <w:rFonts w:eastAsia="Times New Roman"/>
          <w:szCs w:val="28"/>
          <w:lang w:eastAsia="ru-RU"/>
        </w:rPr>
        <w:t>ООО «КАРАТ-Тольятти</w:t>
      </w:r>
      <w:r w:rsidRPr="00B0057B">
        <w:rPr>
          <w:rFonts w:eastAsia="Times New Roman"/>
          <w:szCs w:val="28"/>
          <w:lang w:eastAsia="ru-RU"/>
        </w:rPr>
        <w:t xml:space="preserve">» </w:t>
      </w:r>
      <w:r w:rsidRPr="00B0057B">
        <w:rPr>
          <w:rFonts w:eastAsiaTheme="minorHAnsi" w:cstheme="minorBidi"/>
          <w:szCs w:val="28"/>
        </w:rPr>
        <w:t>в части исключения показателя «</w:t>
      </w:r>
      <w:r w:rsidR="00021E7F">
        <w:rPr>
          <w:rFonts w:eastAsiaTheme="minorHAnsi"/>
          <w:szCs w:val="28"/>
        </w:rPr>
        <w:t>м</w:t>
      </w:r>
      <w:r w:rsidR="00021E7F">
        <w:rPr>
          <w:rFonts w:eastAsiaTheme="minorHAnsi"/>
          <w:szCs w:val="28"/>
        </w:rPr>
        <w:t>инимальные размеры земельных участков</w:t>
      </w:r>
      <w:r w:rsidRPr="00B0057B">
        <w:rPr>
          <w:rFonts w:eastAsiaTheme="minorHAnsi" w:cstheme="minorBidi"/>
          <w:szCs w:val="28"/>
        </w:rPr>
        <w:t xml:space="preserve">» </w:t>
      </w:r>
      <w:r w:rsidR="00021E7F">
        <w:rPr>
          <w:rFonts w:eastAsiaTheme="minorHAnsi" w:cstheme="minorBidi"/>
          <w:szCs w:val="28"/>
        </w:rPr>
        <w:t xml:space="preserve">для </w:t>
      </w:r>
      <w:r w:rsidR="00021E7F">
        <w:rPr>
          <w:rFonts w:eastAsiaTheme="minorHAnsi"/>
          <w:szCs w:val="28"/>
        </w:rPr>
        <w:t>канализационных очистных сооружений</w:t>
      </w:r>
      <w:r w:rsidR="00021E7F">
        <w:rPr>
          <w:rFonts w:eastAsiaTheme="minorHAnsi"/>
          <w:szCs w:val="28"/>
        </w:rPr>
        <w:t xml:space="preserve"> и </w:t>
      </w:r>
      <w:r w:rsidR="00021E7F">
        <w:rPr>
          <w:rFonts w:eastAsiaTheme="minorHAnsi"/>
          <w:szCs w:val="28"/>
        </w:rPr>
        <w:t>станций очистки воды</w:t>
      </w:r>
      <w:r w:rsidR="00021E7F">
        <w:rPr>
          <w:rFonts w:eastAsiaTheme="minorHAnsi"/>
          <w:szCs w:val="28"/>
        </w:rPr>
        <w:t xml:space="preserve"> в зоне ПК-4 (Зона коммунально-складских объектов). В действующей редакции Правил данный показатель установлен в размере 1 га.</w:t>
      </w:r>
    </w:p>
    <w:p w:rsidR="006D0F77" w:rsidRDefault="006D0F77" w:rsidP="006D0F77">
      <w:pPr>
        <w:pStyle w:val="ConsPlusNormal"/>
        <w:ind w:firstLine="540"/>
        <w:jc w:val="both"/>
      </w:pPr>
      <w:r>
        <w:t xml:space="preserve">Кроме того следует отметить, что в п. 12.5 </w:t>
      </w:r>
      <w:r w:rsidRPr="00B0057B">
        <w:t xml:space="preserve">СП 42.13330.2016. </w:t>
      </w:r>
      <w:r>
        <w:t>«</w:t>
      </w:r>
      <w:r w:rsidRPr="00B0057B">
        <w:t>Свод правил. Градостроительство. Планировка и застройка городских и сельских поселений. Актуализированная редакция СНиП 2.07.01-89*</w:t>
      </w:r>
      <w:r>
        <w:t xml:space="preserve">», </w:t>
      </w:r>
      <w:r w:rsidRPr="00B0057B">
        <w:t>утв</w:t>
      </w:r>
      <w:r>
        <w:t xml:space="preserve">ержденных </w:t>
      </w:r>
      <w:r w:rsidRPr="00B0057B">
        <w:t>Приказом Минстроя России от 30.12.2016 N 1034/</w:t>
      </w:r>
      <w:proofErr w:type="spellStart"/>
      <w:proofErr w:type="gramStart"/>
      <w:r w:rsidRPr="00B0057B">
        <w:t>пр</w:t>
      </w:r>
      <w:proofErr w:type="spellEnd"/>
      <w:proofErr w:type="gramEnd"/>
      <w:r>
        <w:t xml:space="preserve"> (далее - СП)</w:t>
      </w:r>
      <w:r>
        <w:t>, указаны максимальные размере</w:t>
      </w:r>
      <w:r w:rsidRPr="006D0F77">
        <w:t xml:space="preserve"> </w:t>
      </w:r>
      <w:r>
        <w:t xml:space="preserve">участков для очистных сооружений канализации. </w:t>
      </w:r>
    </w:p>
    <w:p w:rsidR="006D0F77" w:rsidRDefault="006D0F77" w:rsidP="006D0F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20"/>
        <w:gridCol w:w="1440"/>
        <w:gridCol w:w="1200"/>
        <w:gridCol w:w="2400"/>
      </w:tblGrid>
      <w:tr w:rsidR="006D0F77" w:rsidTr="00C23350"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Производительность очистных сооружений канализации, тыс. м</w:t>
            </w:r>
            <w:r>
              <w:rPr>
                <w:vertAlign w:val="superscript"/>
                <w:lang w:eastAsia="en-US"/>
              </w:rPr>
              <w:t>3</w:t>
            </w:r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сут</w:t>
            </w:r>
            <w:proofErr w:type="spellEnd"/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Размеры земельных участков, </w:t>
            </w:r>
            <w:proofErr w:type="gramStart"/>
            <w:r>
              <w:rPr>
                <w:lang w:eastAsia="en-US"/>
              </w:rPr>
              <w:t>га</w:t>
            </w:r>
            <w:proofErr w:type="gramEnd"/>
          </w:p>
        </w:tc>
      </w:tr>
      <w:tr w:rsidR="006D0F77" w:rsidTr="00C23350"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77" w:rsidRDefault="006D0F77" w:rsidP="00C23350">
            <w:pPr>
              <w:spacing w:after="0" w:line="240" w:lineRule="auto"/>
              <w:rPr>
                <w:rFonts w:eastAsia="Times New Roman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очистных сооружений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иловых площадок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биологических прудов глубокой очистки сточных вод</w:t>
            </w:r>
          </w:p>
        </w:tc>
      </w:tr>
      <w:tr w:rsidR="006D0F77" w:rsidTr="00C23350"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Pr="006D0F77" w:rsidRDefault="006D0F77" w:rsidP="00C2335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0F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До  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0F77" w:rsidRDefault="006D0F77" w:rsidP="00C23350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0F77" w:rsidRDefault="006D0F77" w:rsidP="00C23350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6D0F77" w:rsidTr="00C23350">
        <w:tc>
          <w:tcPr>
            <w:tcW w:w="4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Pr="006D0F77" w:rsidRDefault="006D0F77" w:rsidP="00C2335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0F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Св.   0,1 "   0,2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F77" w:rsidRDefault="006D0F77" w:rsidP="00C23350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F77" w:rsidRDefault="006D0F77" w:rsidP="00C23350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6D0F77" w:rsidTr="00C23350">
        <w:tc>
          <w:tcPr>
            <w:tcW w:w="4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Pr="006D0F77" w:rsidRDefault="006D0F77" w:rsidP="00C2335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0F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"    0,2 "   0,4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F77" w:rsidRDefault="006D0F77" w:rsidP="00C23350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F77" w:rsidRDefault="006D0F77" w:rsidP="00C23350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6D0F77" w:rsidTr="00C23350">
        <w:tc>
          <w:tcPr>
            <w:tcW w:w="4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Pr="006D0F77" w:rsidRDefault="006D0F77" w:rsidP="00C2335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0F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"    0,4 "   0,8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F77" w:rsidRDefault="006D0F77" w:rsidP="00C23350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0F77" w:rsidRDefault="006D0F77" w:rsidP="00C23350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6D0F77" w:rsidTr="00C23350">
        <w:tc>
          <w:tcPr>
            <w:tcW w:w="4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Pr="006D0F77" w:rsidRDefault="006D0F77" w:rsidP="00C2335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0F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"    0,8 "  17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6D0F77" w:rsidTr="00C23350">
        <w:tc>
          <w:tcPr>
            <w:tcW w:w="4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Pr="006D0F77" w:rsidRDefault="006D0F77" w:rsidP="00C2335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0F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    "   17   "  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6D0F77" w:rsidTr="00C23350">
        <w:tc>
          <w:tcPr>
            <w:tcW w:w="4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Pr="006D0F77" w:rsidRDefault="006D0F77" w:rsidP="00C2335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0F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"   40   " 130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6D0F77" w:rsidTr="00C23350">
        <w:tc>
          <w:tcPr>
            <w:tcW w:w="4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Pr="006D0F77" w:rsidRDefault="006D0F77" w:rsidP="00C2335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0F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"  130   " 175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6D0F77" w:rsidTr="00C23350"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77" w:rsidRPr="006D0F77" w:rsidRDefault="006D0F77" w:rsidP="00C2335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0F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"  175   " 280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77" w:rsidRDefault="006D0F77" w:rsidP="00C2335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6D0F77" w:rsidTr="00C23350"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77" w:rsidRDefault="006D0F77" w:rsidP="006D0F77">
            <w:pPr>
              <w:pStyle w:val="ConsPlusNormal"/>
              <w:ind w:firstLine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Примечание - Размеры земельных участков очистных сооружений производительностью свыше 280 тыс. м</w:t>
            </w:r>
            <w:r>
              <w:rPr>
                <w:vertAlign w:val="superscript"/>
                <w:lang w:eastAsia="en-US"/>
              </w:rPr>
              <w:t>3</w:t>
            </w:r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сут</w:t>
            </w:r>
            <w:proofErr w:type="spellEnd"/>
            <w:r>
              <w:rPr>
                <w:lang w:eastAsia="en-US"/>
              </w:rPr>
              <w:t xml:space="preserve"> следует принимать по проектам, разработанным в установленном порядке, проектам аналогичных сооружений или по данным профильных организаций при согласовании с органами государственного санитарно-эпидемиологического надзора.</w:t>
            </w:r>
          </w:p>
        </w:tc>
      </w:tr>
    </w:tbl>
    <w:p w:rsidR="006D0F77" w:rsidRDefault="006D0F77" w:rsidP="006D0F77">
      <w:pPr>
        <w:pStyle w:val="ConsPlusNormal"/>
        <w:jc w:val="both"/>
      </w:pPr>
    </w:p>
    <w:p w:rsidR="006D0F77" w:rsidRDefault="006D0F77" w:rsidP="006D0F77">
      <w:pPr>
        <w:pStyle w:val="ConsPlusNormal"/>
        <w:ind w:firstLine="567"/>
        <w:jc w:val="both"/>
      </w:pPr>
      <w:r>
        <w:t xml:space="preserve">При этом </w:t>
      </w:r>
      <w:r>
        <w:t xml:space="preserve"> в СП </w:t>
      </w:r>
      <w:r>
        <w:t>отсутствуют минимальные размеры земельных</w:t>
      </w:r>
      <w:r w:rsidRPr="006D0F77">
        <w:t xml:space="preserve"> </w:t>
      </w:r>
      <w:r>
        <w:t>участков для очистных сооружений.</w:t>
      </w:r>
    </w:p>
    <w:p w:rsidR="00B0057B" w:rsidRPr="00B0057B" w:rsidRDefault="00B0057B" w:rsidP="00B0057B">
      <w:pPr>
        <w:autoSpaceDE w:val="0"/>
        <w:autoSpaceDN w:val="0"/>
        <w:adjustRightInd w:val="0"/>
        <w:spacing w:after="0" w:line="240" w:lineRule="auto"/>
        <w:ind w:firstLine="647"/>
        <w:jc w:val="both"/>
        <w:outlineLvl w:val="0"/>
        <w:rPr>
          <w:rFonts w:eastAsiaTheme="minorHAnsi"/>
          <w:bCs/>
          <w:szCs w:val="28"/>
        </w:rPr>
      </w:pPr>
      <w:proofErr w:type="gramStart"/>
      <w:r w:rsidRPr="00B0057B">
        <w:rPr>
          <w:rFonts w:eastAsiaTheme="minorHAnsi"/>
          <w:bCs/>
          <w:szCs w:val="28"/>
        </w:rPr>
        <w:t xml:space="preserve">В соответствии с ч. 1.1. ст. 38 </w:t>
      </w:r>
      <w:proofErr w:type="spellStart"/>
      <w:r w:rsidRPr="00B0057B">
        <w:rPr>
          <w:rFonts w:eastAsiaTheme="minorHAnsi"/>
          <w:bCs/>
          <w:szCs w:val="28"/>
        </w:rPr>
        <w:t>ГрК</w:t>
      </w:r>
      <w:proofErr w:type="spellEnd"/>
      <w:r w:rsidRPr="00B0057B">
        <w:rPr>
          <w:rFonts w:eastAsiaTheme="minorHAnsi"/>
          <w:bCs/>
          <w:szCs w:val="28"/>
        </w:rPr>
        <w:t xml:space="preserve"> РФ в случае, если в градостроительном регламенте применительно к определенной территориальной зоне не устанавливаются предельные (минимальные и (или) максимальные) размеры земельных участков, в том числе их площадь, и (или) предусмотренные </w:t>
      </w:r>
      <w:hyperlink r:id="rId5" w:history="1">
        <w:r w:rsidRPr="00B0057B">
          <w:rPr>
            <w:rFonts w:eastAsiaTheme="minorHAnsi"/>
            <w:bCs/>
            <w:szCs w:val="28"/>
          </w:rPr>
          <w:t>пунктами 2</w:t>
        </w:r>
      </w:hyperlink>
      <w:r w:rsidRPr="00B0057B">
        <w:rPr>
          <w:rFonts w:eastAsiaTheme="minorHAnsi"/>
          <w:bCs/>
          <w:szCs w:val="28"/>
        </w:rPr>
        <w:t xml:space="preserve"> - </w:t>
      </w:r>
      <w:hyperlink r:id="rId6" w:history="1">
        <w:r w:rsidRPr="00B0057B">
          <w:rPr>
            <w:rFonts w:eastAsiaTheme="minorHAnsi"/>
            <w:bCs/>
            <w:szCs w:val="28"/>
          </w:rPr>
          <w:t>4 части 1</w:t>
        </w:r>
      </w:hyperlink>
      <w:r w:rsidRPr="00B0057B">
        <w:rPr>
          <w:rFonts w:eastAsiaTheme="minorHAnsi"/>
          <w:bCs/>
          <w:szCs w:val="28"/>
        </w:rPr>
        <w:t xml:space="preserve"> данной статьи предельные параметры разрешенного строительства, реконструкции объектов капитального строительства, непосредственно в градостроительном регламенте применительно к этой</w:t>
      </w:r>
      <w:proofErr w:type="gramEnd"/>
      <w:r w:rsidRPr="00B0057B">
        <w:rPr>
          <w:rFonts w:eastAsiaTheme="minorHAnsi"/>
          <w:bCs/>
          <w:szCs w:val="28"/>
        </w:rPr>
        <w:t xml:space="preserve"> территориальной зоне указывается, что такие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</w:p>
    <w:p w:rsidR="00B0057B" w:rsidRPr="00B0057B" w:rsidRDefault="00B0057B" w:rsidP="00B0057B">
      <w:pPr>
        <w:autoSpaceDE w:val="0"/>
        <w:spacing w:after="0" w:line="240" w:lineRule="auto"/>
        <w:ind w:firstLine="567"/>
        <w:jc w:val="both"/>
        <w:rPr>
          <w:szCs w:val="28"/>
        </w:rPr>
      </w:pPr>
      <w:r w:rsidRPr="00B0057B">
        <w:rPr>
          <w:szCs w:val="28"/>
        </w:rPr>
        <w:t>1</w:t>
      </w:r>
      <w:r w:rsidR="00021E7F">
        <w:rPr>
          <w:szCs w:val="28"/>
        </w:rPr>
        <w:t>1</w:t>
      </w:r>
      <w:r w:rsidRPr="00B0057B">
        <w:rPr>
          <w:szCs w:val="28"/>
        </w:rPr>
        <w:t>.</w:t>
      </w:r>
      <w:r w:rsidR="00021E7F">
        <w:rPr>
          <w:szCs w:val="28"/>
        </w:rPr>
        <w:t>06</w:t>
      </w:r>
      <w:r w:rsidRPr="00B0057B">
        <w:rPr>
          <w:szCs w:val="28"/>
        </w:rPr>
        <w:t>.202</w:t>
      </w:r>
      <w:r w:rsidR="00021E7F">
        <w:rPr>
          <w:szCs w:val="28"/>
        </w:rPr>
        <w:t>1</w:t>
      </w:r>
      <w:r w:rsidRPr="00B0057B">
        <w:rPr>
          <w:szCs w:val="28"/>
        </w:rPr>
        <w:t xml:space="preserve"> г. представленный вопрос рассмотрен на заседании Комиссии по подготовке проекта Правил землепользования и застройки с рекомендацией внести указанные изменения в Правила. </w:t>
      </w:r>
    </w:p>
    <w:p w:rsidR="00B0057B" w:rsidRPr="00B0057B" w:rsidRDefault="00B0057B" w:rsidP="00B00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szCs w:val="28"/>
        </w:rPr>
      </w:pPr>
      <w:r w:rsidRPr="00B0057B">
        <w:rPr>
          <w:rFonts w:eastAsiaTheme="minorHAnsi"/>
          <w:szCs w:val="28"/>
        </w:rPr>
        <w:t xml:space="preserve">Постановление о подготовке проекта решения Думы городского округа Тольятти о внесении изменений в Правила принято главой городского округа </w:t>
      </w:r>
      <w:r w:rsidR="00021E7F">
        <w:rPr>
          <w:rFonts w:eastAsiaTheme="minorHAnsi"/>
          <w:szCs w:val="28"/>
        </w:rPr>
        <w:t>23</w:t>
      </w:r>
      <w:r w:rsidRPr="00B0057B">
        <w:rPr>
          <w:rFonts w:eastAsiaTheme="minorHAnsi"/>
          <w:szCs w:val="28"/>
        </w:rPr>
        <w:t>.0</w:t>
      </w:r>
      <w:r w:rsidR="00021E7F">
        <w:rPr>
          <w:rFonts w:eastAsiaTheme="minorHAnsi"/>
          <w:szCs w:val="28"/>
        </w:rPr>
        <w:t>6</w:t>
      </w:r>
      <w:r w:rsidRPr="00B0057B">
        <w:rPr>
          <w:rFonts w:eastAsiaTheme="minorHAnsi"/>
          <w:szCs w:val="28"/>
        </w:rPr>
        <w:t xml:space="preserve">.2021г. № </w:t>
      </w:r>
      <w:r w:rsidR="00021E7F">
        <w:rPr>
          <w:rFonts w:eastAsiaTheme="minorHAnsi"/>
          <w:szCs w:val="28"/>
        </w:rPr>
        <w:t>2262</w:t>
      </w:r>
      <w:r w:rsidRPr="00B0057B">
        <w:rPr>
          <w:rFonts w:eastAsiaTheme="minorHAnsi"/>
          <w:szCs w:val="28"/>
        </w:rPr>
        <w:t>-п/1.</w:t>
      </w:r>
    </w:p>
    <w:p w:rsidR="00B0057B" w:rsidRPr="00B0057B" w:rsidRDefault="00B0057B" w:rsidP="00B00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color w:val="000000" w:themeColor="text1"/>
          <w:szCs w:val="28"/>
        </w:rPr>
      </w:pPr>
      <w:r w:rsidRPr="00B0057B">
        <w:rPr>
          <w:rFonts w:eastAsiaTheme="minorHAnsi"/>
          <w:color w:val="000000" w:themeColor="text1"/>
          <w:szCs w:val="28"/>
        </w:rPr>
        <w:t xml:space="preserve">Постановлением администрации городского округа Тольятти от </w:t>
      </w:r>
      <w:r w:rsidR="00021E7F">
        <w:rPr>
          <w:rFonts w:eastAsiaTheme="minorHAnsi"/>
          <w:color w:val="000000" w:themeColor="text1"/>
          <w:szCs w:val="28"/>
        </w:rPr>
        <w:t>06</w:t>
      </w:r>
      <w:r w:rsidRPr="00B0057B">
        <w:rPr>
          <w:rFonts w:eastAsiaTheme="minorHAnsi"/>
          <w:color w:val="000000" w:themeColor="text1"/>
          <w:szCs w:val="28"/>
        </w:rPr>
        <w:t>.0</w:t>
      </w:r>
      <w:r w:rsidR="00021E7F">
        <w:rPr>
          <w:rFonts w:eastAsiaTheme="minorHAnsi"/>
          <w:color w:val="000000" w:themeColor="text1"/>
          <w:szCs w:val="28"/>
        </w:rPr>
        <w:t>7</w:t>
      </w:r>
      <w:r w:rsidRPr="00B0057B">
        <w:rPr>
          <w:rFonts w:eastAsiaTheme="minorHAnsi"/>
          <w:color w:val="000000" w:themeColor="text1"/>
          <w:szCs w:val="28"/>
        </w:rPr>
        <w:t xml:space="preserve">.2021 № </w:t>
      </w:r>
      <w:r w:rsidR="00021E7F">
        <w:rPr>
          <w:rFonts w:eastAsiaTheme="minorHAnsi"/>
          <w:szCs w:val="28"/>
        </w:rPr>
        <w:t>2411</w:t>
      </w:r>
      <w:r w:rsidRPr="00B0057B">
        <w:rPr>
          <w:rFonts w:eastAsiaTheme="minorHAnsi"/>
          <w:color w:val="000000" w:themeColor="text1"/>
          <w:szCs w:val="28"/>
        </w:rPr>
        <w:t>-п/1 назначены публичные слушания по рассматриваемому проекту решения Думы.</w:t>
      </w:r>
    </w:p>
    <w:p w:rsidR="00B0057B" w:rsidRPr="00B0057B" w:rsidRDefault="00B0057B" w:rsidP="00B0057B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autoSpaceDE w:val="0"/>
        <w:spacing w:after="0" w:line="240" w:lineRule="auto"/>
        <w:ind w:firstLine="567"/>
        <w:jc w:val="both"/>
        <w:rPr>
          <w:rFonts w:eastAsia="Times New Roman"/>
          <w:szCs w:val="28"/>
          <w:lang w:eastAsia="ar-SA"/>
        </w:rPr>
      </w:pPr>
      <w:r w:rsidRPr="00B0057B">
        <w:rPr>
          <w:rFonts w:eastAsia="Times New Roman"/>
          <w:szCs w:val="28"/>
          <w:lang w:eastAsia="ar-SA"/>
        </w:rPr>
        <w:t>Оповещение о назначении публичных слушаний опубликовано в газете «Городские ведомости» от 09.0</w:t>
      </w:r>
      <w:r w:rsidR="00021E7F">
        <w:rPr>
          <w:rFonts w:eastAsia="Times New Roman"/>
          <w:szCs w:val="28"/>
          <w:lang w:eastAsia="ar-SA"/>
        </w:rPr>
        <w:t>6</w:t>
      </w:r>
      <w:r w:rsidRPr="00B0057B">
        <w:rPr>
          <w:rFonts w:eastAsia="Times New Roman"/>
          <w:szCs w:val="28"/>
          <w:lang w:eastAsia="ar-SA"/>
        </w:rPr>
        <w:t xml:space="preserve">.2021 № </w:t>
      </w:r>
      <w:r w:rsidR="00021E7F">
        <w:rPr>
          <w:rFonts w:eastAsia="Times New Roman"/>
          <w:szCs w:val="28"/>
          <w:lang w:eastAsia="ar-SA"/>
        </w:rPr>
        <w:t>46</w:t>
      </w:r>
      <w:r w:rsidRPr="00B0057B">
        <w:rPr>
          <w:rFonts w:eastAsia="Times New Roman"/>
          <w:szCs w:val="28"/>
          <w:lang w:eastAsia="ar-SA"/>
        </w:rPr>
        <w:t>2 и размещено на официальном сайте администрации городского округа Тольятти в сети «Интернет»: www.tgl.ru.</w:t>
      </w:r>
    </w:p>
    <w:p w:rsidR="00B0057B" w:rsidRPr="00B0057B" w:rsidRDefault="00B0057B" w:rsidP="00B00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color w:val="000000" w:themeColor="text1"/>
          <w:szCs w:val="28"/>
        </w:rPr>
      </w:pPr>
      <w:r w:rsidRPr="00B0057B">
        <w:rPr>
          <w:rFonts w:eastAsiaTheme="minorHAnsi"/>
          <w:color w:val="000000" w:themeColor="text1"/>
          <w:szCs w:val="28"/>
        </w:rPr>
        <w:t xml:space="preserve">Публичные слушания по представленному проекту решения Думы проведены </w:t>
      </w:r>
      <w:r w:rsidR="00021E7F">
        <w:rPr>
          <w:rFonts w:eastAsiaTheme="minorHAnsi"/>
          <w:color w:val="000000" w:themeColor="text1"/>
          <w:szCs w:val="28"/>
        </w:rPr>
        <w:t>29</w:t>
      </w:r>
      <w:r w:rsidRPr="00B0057B">
        <w:rPr>
          <w:rFonts w:eastAsiaTheme="minorHAnsi"/>
          <w:color w:val="000000" w:themeColor="text1"/>
          <w:szCs w:val="28"/>
        </w:rPr>
        <w:t>.0</w:t>
      </w:r>
      <w:r w:rsidR="00021E7F">
        <w:rPr>
          <w:rFonts w:eastAsiaTheme="minorHAnsi"/>
          <w:color w:val="000000" w:themeColor="text1"/>
          <w:szCs w:val="28"/>
        </w:rPr>
        <w:t>7</w:t>
      </w:r>
      <w:r w:rsidRPr="00B0057B">
        <w:rPr>
          <w:rFonts w:eastAsiaTheme="minorHAnsi"/>
          <w:color w:val="000000" w:themeColor="text1"/>
          <w:szCs w:val="28"/>
        </w:rPr>
        <w:t>.2021.</w:t>
      </w:r>
    </w:p>
    <w:p w:rsidR="00B0057B" w:rsidRPr="00B0057B" w:rsidRDefault="00B0057B" w:rsidP="00B00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color w:val="000000" w:themeColor="text1"/>
          <w:szCs w:val="28"/>
        </w:rPr>
      </w:pPr>
      <w:r w:rsidRPr="00B0057B">
        <w:rPr>
          <w:rFonts w:eastAsiaTheme="minorHAnsi"/>
          <w:color w:val="000000" w:themeColor="text1"/>
          <w:szCs w:val="28"/>
        </w:rPr>
        <w:lastRenderedPageBreak/>
        <w:t xml:space="preserve">Заключение о результатах публичных слушаний опубликовано в газете «Городские ведомости» от </w:t>
      </w:r>
      <w:r w:rsidR="00021E7F">
        <w:rPr>
          <w:rFonts w:eastAsiaTheme="minorHAnsi"/>
          <w:color w:val="000000" w:themeColor="text1"/>
          <w:szCs w:val="28"/>
        </w:rPr>
        <w:t>06</w:t>
      </w:r>
      <w:r w:rsidRPr="00B0057B">
        <w:rPr>
          <w:rFonts w:eastAsiaTheme="minorHAnsi"/>
          <w:color w:val="000000" w:themeColor="text1"/>
          <w:szCs w:val="28"/>
        </w:rPr>
        <w:t>.0</w:t>
      </w:r>
      <w:r w:rsidR="00021E7F">
        <w:rPr>
          <w:rFonts w:eastAsiaTheme="minorHAnsi"/>
          <w:color w:val="000000" w:themeColor="text1"/>
          <w:szCs w:val="28"/>
        </w:rPr>
        <w:t>8</w:t>
      </w:r>
      <w:r w:rsidRPr="00B0057B">
        <w:rPr>
          <w:rFonts w:eastAsiaTheme="minorHAnsi"/>
          <w:color w:val="000000" w:themeColor="text1"/>
          <w:szCs w:val="28"/>
        </w:rPr>
        <w:t xml:space="preserve">.2021г. № </w:t>
      </w:r>
      <w:r w:rsidR="00021E7F">
        <w:rPr>
          <w:rFonts w:eastAsiaTheme="minorHAnsi"/>
          <w:color w:val="000000" w:themeColor="text1"/>
          <w:szCs w:val="28"/>
        </w:rPr>
        <w:t>55</w:t>
      </w:r>
      <w:r w:rsidRPr="00B0057B">
        <w:rPr>
          <w:rFonts w:eastAsiaTheme="minorHAnsi"/>
          <w:color w:val="000000" w:themeColor="text1"/>
          <w:szCs w:val="28"/>
        </w:rPr>
        <w:t xml:space="preserve"> и размещено на официальном сайте администрации. </w:t>
      </w:r>
    </w:p>
    <w:p w:rsidR="00B0057B" w:rsidRPr="00B0057B" w:rsidRDefault="00B0057B" w:rsidP="00B0057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eastAsia="Times New Roman"/>
          <w:szCs w:val="28"/>
          <w:lang w:eastAsia="ru-RU"/>
        </w:rPr>
      </w:pPr>
      <w:bookmarkStart w:id="0" w:name="Par5"/>
      <w:bookmarkStart w:id="1" w:name="Par8"/>
      <w:bookmarkEnd w:id="0"/>
      <w:bookmarkEnd w:id="1"/>
      <w:proofErr w:type="gramStart"/>
      <w:r w:rsidRPr="00B0057B">
        <w:rPr>
          <w:szCs w:val="28"/>
        </w:rPr>
        <w:t>В соответствии с</w:t>
      </w:r>
      <w:r w:rsidRPr="00B0057B">
        <w:rPr>
          <w:rFonts w:eastAsia="Times New Roman"/>
          <w:szCs w:val="28"/>
          <w:lang w:eastAsia="ru-RU"/>
        </w:rPr>
        <w:t xml:space="preserve"> Законом Самарской области от 14.11.2014 № 117-ГД «</w:t>
      </w:r>
      <w:r w:rsidRPr="00B0057B">
        <w:rPr>
          <w:szCs w:val="28"/>
        </w:rPr>
        <w:t xml:space="preserve">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 и </w:t>
      </w:r>
      <w:r w:rsidRPr="00B0057B">
        <w:rPr>
          <w:rFonts w:eastAsia="Times New Roman" w:cstheme="minorBidi"/>
          <w:szCs w:val="28"/>
          <w:lang w:eastAsia="ru-RU"/>
        </w:rPr>
        <w:t>Порядком проведения оценки регулирующего воздействия проектов муниципальных нормативных правовых актов городского</w:t>
      </w:r>
      <w:proofErr w:type="gramEnd"/>
      <w:r w:rsidRPr="00B0057B">
        <w:rPr>
          <w:rFonts w:eastAsia="Times New Roman" w:cstheme="minorBidi"/>
          <w:szCs w:val="28"/>
          <w:lang w:eastAsia="ru-RU"/>
        </w:rPr>
        <w:t xml:space="preserve"> </w:t>
      </w:r>
      <w:proofErr w:type="gramStart"/>
      <w:r w:rsidRPr="00B0057B">
        <w:rPr>
          <w:rFonts w:eastAsia="Times New Roman" w:cstheme="minorBidi"/>
          <w:szCs w:val="28"/>
          <w:lang w:eastAsia="ru-RU"/>
        </w:rPr>
        <w:t xml:space="preserve">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об определении уполномоченного органа на проведение оценки регулирующего воздействия и экспертизы, а также о внесении изменений в отдельные нормативные правовые акты Думы городского округа Тольятти, </w:t>
      </w:r>
      <w:r w:rsidRPr="00B0057B">
        <w:rPr>
          <w:szCs w:val="28"/>
        </w:rPr>
        <w:t xml:space="preserve">утвержденным </w:t>
      </w:r>
      <w:r w:rsidRPr="00B0057B">
        <w:rPr>
          <w:rFonts w:eastAsia="Times New Roman" w:cstheme="minorBidi"/>
          <w:szCs w:val="28"/>
          <w:lang w:eastAsia="ru-RU"/>
        </w:rPr>
        <w:t>решением Думы городского округа Тольятти от 04.03.2020 № 514, в</w:t>
      </w:r>
      <w:proofErr w:type="gramEnd"/>
      <w:r w:rsidRPr="00B0057B">
        <w:rPr>
          <w:rFonts w:eastAsia="Times New Roman" w:cstheme="minorBidi"/>
          <w:szCs w:val="28"/>
          <w:lang w:eastAsia="ru-RU"/>
        </w:rPr>
        <w:t xml:space="preserve"> </w:t>
      </w:r>
      <w:proofErr w:type="gramStart"/>
      <w:r w:rsidRPr="00B0057B">
        <w:rPr>
          <w:rFonts w:eastAsia="Times New Roman" w:cstheme="minorBidi"/>
          <w:szCs w:val="28"/>
          <w:lang w:eastAsia="ru-RU"/>
        </w:rPr>
        <w:t>пакете</w:t>
      </w:r>
      <w:proofErr w:type="gramEnd"/>
      <w:r w:rsidRPr="00B0057B">
        <w:rPr>
          <w:rFonts w:eastAsia="Times New Roman" w:cstheme="minorBidi"/>
          <w:szCs w:val="28"/>
          <w:lang w:eastAsia="ru-RU"/>
        </w:rPr>
        <w:t xml:space="preserve"> документов представлено заключение</w:t>
      </w:r>
      <w:r w:rsidRPr="00B0057B">
        <w:rPr>
          <w:szCs w:val="28"/>
        </w:rPr>
        <w:t xml:space="preserve"> уполномоченного органа об оценке регулирующего воздействия</w:t>
      </w:r>
      <w:r w:rsidRPr="00B0057B">
        <w:rPr>
          <w:rFonts w:eastAsia="Times New Roman" w:cstheme="minorBidi"/>
          <w:szCs w:val="28"/>
          <w:lang w:eastAsia="ru-RU"/>
        </w:rPr>
        <w:t xml:space="preserve"> от </w:t>
      </w:r>
      <w:r w:rsidR="00021E7F">
        <w:rPr>
          <w:rFonts w:eastAsia="Times New Roman" w:cstheme="minorBidi"/>
          <w:szCs w:val="28"/>
          <w:lang w:eastAsia="ru-RU"/>
        </w:rPr>
        <w:t>2</w:t>
      </w:r>
      <w:r w:rsidRPr="00B0057B">
        <w:rPr>
          <w:rFonts w:eastAsia="Times New Roman" w:cstheme="minorBidi"/>
          <w:szCs w:val="28"/>
          <w:lang w:eastAsia="ru-RU"/>
        </w:rPr>
        <w:t xml:space="preserve">6.07.2020. </w:t>
      </w:r>
    </w:p>
    <w:p w:rsidR="00B0057B" w:rsidRPr="00B0057B" w:rsidRDefault="00B0057B" w:rsidP="00B0057B">
      <w:pPr>
        <w:widowControl w:val="0"/>
        <w:spacing w:after="0" w:line="240" w:lineRule="auto"/>
        <w:ind w:left="80" w:right="60" w:firstLine="567"/>
        <w:jc w:val="both"/>
        <w:rPr>
          <w:rFonts w:eastAsia="Times New Roman"/>
          <w:iCs/>
          <w:szCs w:val="28"/>
        </w:rPr>
      </w:pPr>
      <w:r w:rsidRPr="00B0057B">
        <w:rPr>
          <w:rFonts w:eastAsia="Times New Roman"/>
          <w:iCs/>
          <w:szCs w:val="28"/>
          <w:lang w:eastAsia="ru-RU" w:bidi="ru-RU"/>
        </w:rPr>
        <w:t>Из представленного заключения следует, что</w:t>
      </w:r>
      <w:r w:rsidRPr="00B0057B">
        <w:rPr>
          <w:rFonts w:eastAsia="Times New Roman"/>
          <w:i/>
          <w:iCs/>
          <w:szCs w:val="28"/>
          <w:lang w:eastAsia="ru-RU" w:bidi="ru-RU"/>
        </w:rPr>
        <w:t xml:space="preserve"> </w:t>
      </w:r>
      <w:r w:rsidRPr="00B0057B">
        <w:rPr>
          <w:rFonts w:eastAsia="Times New Roman"/>
          <w:iCs/>
          <w:szCs w:val="28"/>
          <w:lang w:eastAsia="ru-RU" w:bidi="ru-RU"/>
        </w:rPr>
        <w:t>проект не вводит новых и не изменяет содержание существующих обязанностей, запретов и ограничений для субъектов предпринимательской и инвестиционной деятельности.</w:t>
      </w:r>
    </w:p>
    <w:p w:rsidR="00B0057B" w:rsidRPr="00B0057B" w:rsidRDefault="00B0057B" w:rsidP="00B0057B">
      <w:pPr>
        <w:widowControl w:val="0"/>
        <w:spacing w:after="0" w:line="240" w:lineRule="auto"/>
        <w:ind w:left="80" w:right="60" w:firstLine="567"/>
        <w:jc w:val="both"/>
        <w:rPr>
          <w:rFonts w:eastAsia="Times New Roman"/>
          <w:iCs/>
          <w:szCs w:val="28"/>
          <w:lang w:eastAsia="ru-RU" w:bidi="ru-RU"/>
        </w:rPr>
      </w:pPr>
      <w:r w:rsidRPr="00B0057B">
        <w:rPr>
          <w:rFonts w:eastAsia="Times New Roman"/>
          <w:iCs/>
          <w:szCs w:val="28"/>
          <w:lang w:eastAsia="ru-RU" w:bidi="ru-RU"/>
        </w:rPr>
        <w:t xml:space="preserve">Также уполномоченный орган делает вывод о том, что в проекте отсутствуют положения, способствующие возникновению необоснованных расходов субъектов предпринимательской и инвестиционной деятельности и бюджета городского округа Тольятти. </w:t>
      </w:r>
    </w:p>
    <w:p w:rsidR="00B0057B" w:rsidRPr="00B0057B" w:rsidRDefault="00B0057B" w:rsidP="00B0057B">
      <w:pPr>
        <w:spacing w:after="0" w:line="240" w:lineRule="auto"/>
        <w:ind w:firstLine="567"/>
        <w:jc w:val="both"/>
        <w:rPr>
          <w:rFonts w:eastAsiaTheme="minorHAnsi"/>
          <w:szCs w:val="28"/>
        </w:rPr>
      </w:pPr>
      <w:r w:rsidRPr="00B0057B">
        <w:rPr>
          <w:rFonts w:eastAsiaTheme="minorHAnsi"/>
          <w:szCs w:val="28"/>
        </w:rPr>
        <w:t xml:space="preserve">Антикоррупционная экспертиза  проекта нормативного правового акта проведена, </w:t>
      </w:r>
      <w:proofErr w:type="spellStart"/>
      <w:r w:rsidRPr="00B0057B">
        <w:rPr>
          <w:rFonts w:eastAsiaTheme="minorHAnsi"/>
          <w:szCs w:val="28"/>
        </w:rPr>
        <w:t>коррупциогенные</w:t>
      </w:r>
      <w:proofErr w:type="spellEnd"/>
      <w:r w:rsidRPr="00B0057B">
        <w:rPr>
          <w:rFonts w:eastAsiaTheme="minorHAnsi"/>
          <w:szCs w:val="28"/>
        </w:rPr>
        <w:t xml:space="preserve"> факторы не выявлены.</w:t>
      </w:r>
    </w:p>
    <w:p w:rsidR="00B0057B" w:rsidRPr="00B0057B" w:rsidRDefault="00B0057B" w:rsidP="00B0057B">
      <w:pPr>
        <w:spacing w:after="0" w:line="240" w:lineRule="auto"/>
        <w:ind w:firstLine="567"/>
        <w:jc w:val="both"/>
        <w:rPr>
          <w:rFonts w:eastAsiaTheme="minorHAnsi"/>
          <w:szCs w:val="28"/>
        </w:rPr>
      </w:pPr>
      <w:r w:rsidRPr="00B0057B">
        <w:rPr>
          <w:rFonts w:eastAsiaTheme="minorHAnsi"/>
          <w:szCs w:val="28"/>
        </w:rPr>
        <w:t>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B0057B" w:rsidRPr="00B0057B" w:rsidRDefault="00B0057B" w:rsidP="00B0057B">
      <w:pPr>
        <w:spacing w:after="0" w:line="240" w:lineRule="auto"/>
        <w:ind w:firstLine="567"/>
        <w:jc w:val="both"/>
        <w:rPr>
          <w:rFonts w:eastAsiaTheme="minorHAnsi"/>
          <w:szCs w:val="28"/>
        </w:rPr>
      </w:pPr>
      <w:r w:rsidRPr="00B0057B">
        <w:rPr>
          <w:rFonts w:eastAsiaTheme="minorHAnsi"/>
          <w:szCs w:val="28"/>
        </w:rPr>
        <w:t>Вывод: представленный вопрос относится к компетенции Думы городского округа и  может быть рассмотрен на её заседании.</w:t>
      </w:r>
    </w:p>
    <w:p w:rsidR="00B0057B" w:rsidRPr="00B0057B" w:rsidRDefault="00B0057B" w:rsidP="00B0057B">
      <w:pPr>
        <w:spacing w:after="0" w:line="240" w:lineRule="auto"/>
        <w:ind w:firstLine="567"/>
        <w:jc w:val="both"/>
        <w:rPr>
          <w:rFonts w:eastAsiaTheme="minorHAnsi"/>
          <w:szCs w:val="28"/>
        </w:rPr>
      </w:pPr>
    </w:p>
    <w:p w:rsidR="00B0057B" w:rsidRPr="00B0057B" w:rsidRDefault="00B0057B" w:rsidP="00B0057B">
      <w:pPr>
        <w:spacing w:after="0" w:line="240" w:lineRule="auto"/>
        <w:ind w:firstLine="567"/>
        <w:jc w:val="both"/>
        <w:rPr>
          <w:rFonts w:eastAsiaTheme="minorHAnsi"/>
          <w:szCs w:val="28"/>
        </w:rPr>
      </w:pPr>
    </w:p>
    <w:p w:rsidR="00B0057B" w:rsidRPr="00B0057B" w:rsidRDefault="00B0057B" w:rsidP="00B0057B">
      <w:pPr>
        <w:spacing w:after="0" w:line="240" w:lineRule="auto"/>
        <w:ind w:firstLine="567"/>
        <w:jc w:val="both"/>
        <w:rPr>
          <w:rFonts w:eastAsiaTheme="minorHAnsi"/>
          <w:szCs w:val="28"/>
        </w:rPr>
      </w:pPr>
      <w:r w:rsidRPr="00B0057B">
        <w:rPr>
          <w:rFonts w:eastAsiaTheme="minorHAnsi"/>
          <w:szCs w:val="28"/>
        </w:rPr>
        <w:t xml:space="preserve">Начальник юридического отдела            </w:t>
      </w:r>
      <w:r w:rsidRPr="00B0057B">
        <w:rPr>
          <w:rFonts w:eastAsiaTheme="minorHAnsi"/>
          <w:szCs w:val="28"/>
        </w:rPr>
        <w:tab/>
      </w:r>
      <w:r w:rsidRPr="00B0057B">
        <w:rPr>
          <w:rFonts w:eastAsiaTheme="minorHAnsi"/>
          <w:szCs w:val="28"/>
        </w:rPr>
        <w:tab/>
        <w:t xml:space="preserve"> Е.В. Смирнова</w:t>
      </w:r>
    </w:p>
    <w:p w:rsidR="00B0057B" w:rsidRPr="00B0057B" w:rsidRDefault="00B0057B" w:rsidP="00B0057B">
      <w:pPr>
        <w:spacing w:after="0" w:line="240" w:lineRule="auto"/>
        <w:ind w:firstLine="567"/>
        <w:jc w:val="both"/>
        <w:rPr>
          <w:rFonts w:eastAsiaTheme="minorHAnsi"/>
          <w:szCs w:val="28"/>
        </w:rPr>
      </w:pPr>
    </w:p>
    <w:p w:rsidR="00B0057B" w:rsidRPr="00B0057B" w:rsidRDefault="00B0057B" w:rsidP="00B0057B">
      <w:pPr>
        <w:spacing w:after="0" w:line="240" w:lineRule="auto"/>
        <w:ind w:firstLine="567"/>
        <w:jc w:val="both"/>
        <w:rPr>
          <w:rFonts w:eastAsiaTheme="minorHAnsi"/>
          <w:szCs w:val="28"/>
        </w:rPr>
      </w:pPr>
    </w:p>
    <w:p w:rsidR="00B0057B" w:rsidRPr="00B0057B" w:rsidRDefault="00B0057B" w:rsidP="00B0057B">
      <w:pPr>
        <w:spacing w:after="0" w:line="240" w:lineRule="auto"/>
        <w:ind w:firstLine="567"/>
        <w:jc w:val="both"/>
        <w:rPr>
          <w:rFonts w:eastAsiaTheme="minorHAnsi"/>
          <w:szCs w:val="28"/>
        </w:rPr>
      </w:pPr>
    </w:p>
    <w:p w:rsidR="00B0057B" w:rsidRPr="00B0057B" w:rsidRDefault="00B0057B" w:rsidP="00B0057B">
      <w:pPr>
        <w:spacing w:after="0" w:line="240" w:lineRule="auto"/>
        <w:ind w:firstLine="567"/>
        <w:jc w:val="both"/>
        <w:rPr>
          <w:rFonts w:eastAsiaTheme="minorHAnsi"/>
          <w:szCs w:val="28"/>
        </w:rPr>
      </w:pPr>
    </w:p>
    <w:p w:rsidR="00B0057B" w:rsidRDefault="00B0057B" w:rsidP="006D0F77">
      <w:pPr>
        <w:spacing w:after="0" w:line="240" w:lineRule="auto"/>
        <w:ind w:firstLine="567"/>
        <w:jc w:val="both"/>
      </w:pPr>
      <w:r w:rsidRPr="00B0057B">
        <w:rPr>
          <w:rFonts w:eastAsiaTheme="minorHAnsi"/>
          <w:szCs w:val="28"/>
        </w:rPr>
        <w:t xml:space="preserve">Романова </w:t>
      </w:r>
      <w:bookmarkStart w:id="2" w:name="_GoBack"/>
      <w:bookmarkEnd w:id="2"/>
    </w:p>
    <w:sectPr w:rsidR="00B00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57B"/>
    <w:rsid w:val="00021E7F"/>
    <w:rsid w:val="00560195"/>
    <w:rsid w:val="006D0F77"/>
    <w:rsid w:val="00AD70BC"/>
    <w:rsid w:val="00B0057B"/>
    <w:rsid w:val="00F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57B"/>
    <w:pPr>
      <w:spacing w:after="80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05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005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005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57B"/>
    <w:pPr>
      <w:spacing w:after="80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05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005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00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7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4AA23E9155C9C30A1508C5608FA3D36AF1151E3BBAD13FB2CCB66AB3C4B42AAC6B99AF50880BC9E9BAEECCEF58569F8D83949397994805hAz8J" TargetMode="External"/><Relationship Id="rId5" Type="http://schemas.openxmlformats.org/officeDocument/2006/relationships/hyperlink" Target="consultantplus://offline/ref=944AA23E9155C9C30A1508C5608FA3D36AF1151E3BBAD13FB2CCB66AB3C4B42AAC6B99AF50880BC8E1BAEECCEF58569F8D83949397994805hAz8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Екатерина2 А. Батуева</dc:creator>
  <cp:lastModifiedBy>Екатерина2 А. Батуева</cp:lastModifiedBy>
  <cp:revision>1</cp:revision>
  <dcterms:created xsi:type="dcterms:W3CDTF">2021-09-22T10:05:00Z</dcterms:created>
  <dcterms:modified xsi:type="dcterms:W3CDTF">2021-09-22T11:08:00Z</dcterms:modified>
</cp:coreProperties>
</file>