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3DD" w:rsidRPr="00443340" w:rsidRDefault="008763DD" w:rsidP="00443340">
      <w:pPr>
        <w:spacing w:line="276" w:lineRule="auto"/>
        <w:ind w:firstLine="567"/>
        <w:contextualSpacing/>
        <w:jc w:val="center"/>
        <w:rPr>
          <w:rFonts w:eastAsiaTheme="minorHAnsi"/>
          <w:b/>
          <w:sz w:val="27"/>
          <w:szCs w:val="27"/>
          <w:lang w:eastAsia="en-US"/>
        </w:rPr>
      </w:pPr>
      <w:r w:rsidRPr="00443340">
        <w:rPr>
          <w:rFonts w:eastAsiaTheme="minorHAnsi"/>
          <w:b/>
          <w:sz w:val="27"/>
          <w:szCs w:val="27"/>
          <w:lang w:eastAsia="en-US"/>
        </w:rPr>
        <w:t>ЮРИДИЧЕСКОЕ ЗАКЛЮЧЕНИЕ</w:t>
      </w:r>
    </w:p>
    <w:p w:rsidR="008763DD" w:rsidRPr="00443340" w:rsidRDefault="008763DD" w:rsidP="00443340">
      <w:pPr>
        <w:spacing w:line="276" w:lineRule="auto"/>
        <w:ind w:firstLine="567"/>
        <w:contextualSpacing/>
        <w:jc w:val="center"/>
        <w:rPr>
          <w:rFonts w:eastAsiaTheme="minorHAnsi"/>
          <w:b/>
          <w:sz w:val="27"/>
          <w:szCs w:val="27"/>
          <w:lang w:eastAsia="en-US"/>
        </w:rPr>
      </w:pPr>
      <w:r w:rsidRPr="00443340">
        <w:rPr>
          <w:rFonts w:eastAsiaTheme="minorHAnsi"/>
          <w:b/>
          <w:sz w:val="27"/>
          <w:szCs w:val="27"/>
          <w:lang w:eastAsia="en-US"/>
        </w:rPr>
        <w:t xml:space="preserve">на проект решения Думы городского округа Тольятти </w:t>
      </w:r>
    </w:p>
    <w:p w:rsidR="008E6738" w:rsidRPr="00443340" w:rsidRDefault="008E6738" w:rsidP="00443340">
      <w:pPr>
        <w:spacing w:line="276" w:lineRule="auto"/>
        <w:ind w:firstLine="709"/>
        <w:jc w:val="center"/>
        <w:rPr>
          <w:b/>
          <w:bCs/>
          <w:iCs/>
          <w:sz w:val="27"/>
          <w:szCs w:val="27"/>
        </w:rPr>
      </w:pPr>
      <w:r w:rsidRPr="00443340">
        <w:rPr>
          <w:b/>
          <w:bCs/>
          <w:iCs/>
          <w:sz w:val="27"/>
          <w:szCs w:val="27"/>
        </w:rPr>
        <w:t xml:space="preserve">«О признании </w:t>
      </w:r>
      <w:proofErr w:type="gramStart"/>
      <w:r w:rsidRPr="00443340">
        <w:rPr>
          <w:b/>
          <w:bCs/>
          <w:iCs/>
          <w:sz w:val="27"/>
          <w:szCs w:val="27"/>
        </w:rPr>
        <w:t>утратившим</w:t>
      </w:r>
      <w:proofErr w:type="gramEnd"/>
      <w:r w:rsidRPr="00443340">
        <w:rPr>
          <w:b/>
          <w:bCs/>
          <w:iCs/>
          <w:sz w:val="27"/>
          <w:szCs w:val="27"/>
        </w:rPr>
        <w:t xml:space="preserve"> силу решения</w:t>
      </w:r>
    </w:p>
    <w:p w:rsidR="00443340" w:rsidRDefault="008E6738" w:rsidP="00443340">
      <w:pPr>
        <w:spacing w:line="276" w:lineRule="auto"/>
        <w:ind w:firstLine="709"/>
        <w:jc w:val="center"/>
        <w:rPr>
          <w:b/>
          <w:bCs/>
          <w:iCs/>
          <w:sz w:val="27"/>
          <w:szCs w:val="27"/>
        </w:rPr>
      </w:pPr>
      <w:r w:rsidRPr="00443340">
        <w:rPr>
          <w:b/>
          <w:bCs/>
          <w:iCs/>
          <w:sz w:val="27"/>
          <w:szCs w:val="27"/>
        </w:rPr>
        <w:t xml:space="preserve"> Думы городского округа Тольятти от 20.01.2021 года №809 «О толковании части 2 статьи 53 Регламента Думы городского округа Тольятти, утвержденного решением Думы городского округа Тольятти </w:t>
      </w:r>
    </w:p>
    <w:p w:rsidR="008E6738" w:rsidRPr="00443340" w:rsidRDefault="00443340" w:rsidP="00443340">
      <w:pPr>
        <w:spacing w:line="276" w:lineRule="auto"/>
        <w:ind w:firstLine="709"/>
        <w:rPr>
          <w:b/>
          <w:bCs/>
          <w:iCs/>
          <w:sz w:val="27"/>
          <w:szCs w:val="27"/>
        </w:rPr>
      </w:pPr>
      <w:r>
        <w:rPr>
          <w:b/>
          <w:bCs/>
          <w:iCs/>
          <w:sz w:val="27"/>
          <w:szCs w:val="27"/>
        </w:rPr>
        <w:t xml:space="preserve">                                       </w:t>
      </w:r>
      <w:r w:rsidR="008E6738" w:rsidRPr="00443340">
        <w:rPr>
          <w:b/>
          <w:bCs/>
          <w:iCs/>
          <w:sz w:val="27"/>
          <w:szCs w:val="27"/>
        </w:rPr>
        <w:t xml:space="preserve">от 03.10.2018 № 3» </w:t>
      </w:r>
    </w:p>
    <w:p w:rsidR="008763DD" w:rsidRPr="00443340" w:rsidRDefault="008E6738" w:rsidP="00443340">
      <w:pPr>
        <w:tabs>
          <w:tab w:val="left" w:pos="9353"/>
        </w:tabs>
        <w:snapToGrid w:val="0"/>
        <w:spacing w:line="276" w:lineRule="auto"/>
        <w:ind w:right="-3" w:firstLine="567"/>
        <w:contextualSpacing/>
        <w:rPr>
          <w:b/>
          <w:sz w:val="27"/>
          <w:szCs w:val="27"/>
        </w:rPr>
      </w:pPr>
      <w:r w:rsidRPr="00443340">
        <w:rPr>
          <w:sz w:val="27"/>
          <w:szCs w:val="27"/>
        </w:rPr>
        <w:t xml:space="preserve">                                       </w:t>
      </w:r>
      <w:r w:rsidR="008763DD" w:rsidRPr="00443340">
        <w:rPr>
          <w:b/>
          <w:sz w:val="27"/>
          <w:szCs w:val="27"/>
        </w:rPr>
        <w:t>(Д-</w:t>
      </w:r>
      <w:r w:rsidR="00230279" w:rsidRPr="00443340">
        <w:rPr>
          <w:b/>
          <w:sz w:val="27"/>
          <w:szCs w:val="27"/>
        </w:rPr>
        <w:t xml:space="preserve"> </w:t>
      </w:r>
      <w:r w:rsidRPr="00443340">
        <w:rPr>
          <w:b/>
          <w:sz w:val="27"/>
          <w:szCs w:val="27"/>
        </w:rPr>
        <w:t>302</w:t>
      </w:r>
      <w:r w:rsidR="008763DD" w:rsidRPr="00443340">
        <w:rPr>
          <w:b/>
          <w:sz w:val="27"/>
          <w:szCs w:val="27"/>
        </w:rPr>
        <w:t xml:space="preserve"> от </w:t>
      </w:r>
      <w:r w:rsidR="00467425" w:rsidRPr="00443340">
        <w:rPr>
          <w:b/>
          <w:sz w:val="27"/>
          <w:szCs w:val="27"/>
        </w:rPr>
        <w:t>13</w:t>
      </w:r>
      <w:r w:rsidR="008763DD" w:rsidRPr="00443340">
        <w:rPr>
          <w:b/>
          <w:sz w:val="27"/>
          <w:szCs w:val="27"/>
        </w:rPr>
        <w:t>.</w:t>
      </w:r>
      <w:r w:rsidRPr="00443340">
        <w:rPr>
          <w:b/>
          <w:sz w:val="27"/>
          <w:szCs w:val="27"/>
        </w:rPr>
        <w:t>10</w:t>
      </w:r>
      <w:r w:rsidR="008763DD" w:rsidRPr="00443340">
        <w:rPr>
          <w:b/>
          <w:sz w:val="27"/>
          <w:szCs w:val="27"/>
        </w:rPr>
        <w:t>.2021)</w:t>
      </w:r>
    </w:p>
    <w:p w:rsidR="008763DD" w:rsidRPr="00443340" w:rsidRDefault="008763DD" w:rsidP="00443340">
      <w:pPr>
        <w:tabs>
          <w:tab w:val="left" w:pos="9353"/>
        </w:tabs>
        <w:snapToGrid w:val="0"/>
        <w:spacing w:line="276" w:lineRule="auto"/>
        <w:ind w:right="-3" w:firstLine="567"/>
        <w:contextualSpacing/>
        <w:jc w:val="center"/>
        <w:rPr>
          <w:b/>
          <w:sz w:val="27"/>
          <w:szCs w:val="27"/>
        </w:rPr>
      </w:pPr>
    </w:p>
    <w:p w:rsidR="00EC4BBC" w:rsidRPr="00443340" w:rsidRDefault="00EC4BBC" w:rsidP="00443340">
      <w:pPr>
        <w:tabs>
          <w:tab w:val="left" w:pos="9353"/>
        </w:tabs>
        <w:snapToGrid w:val="0"/>
        <w:spacing w:line="276" w:lineRule="auto"/>
        <w:ind w:right="-3" w:firstLine="567"/>
        <w:contextualSpacing/>
        <w:jc w:val="center"/>
        <w:rPr>
          <w:b/>
          <w:sz w:val="27"/>
          <w:szCs w:val="27"/>
        </w:rPr>
      </w:pPr>
    </w:p>
    <w:p w:rsidR="008763DD" w:rsidRPr="00443340" w:rsidRDefault="008763DD" w:rsidP="00443340">
      <w:pPr>
        <w:spacing w:line="276" w:lineRule="auto"/>
        <w:ind w:firstLine="709"/>
        <w:jc w:val="both"/>
        <w:rPr>
          <w:sz w:val="27"/>
          <w:szCs w:val="27"/>
        </w:rPr>
      </w:pPr>
      <w:r w:rsidRPr="00443340">
        <w:rPr>
          <w:sz w:val="27"/>
          <w:szCs w:val="27"/>
        </w:rPr>
        <w:t xml:space="preserve">Рассмотрев  проект решения Думы </w:t>
      </w:r>
      <w:r w:rsidRPr="00443340">
        <w:rPr>
          <w:bCs/>
          <w:sz w:val="27"/>
          <w:szCs w:val="27"/>
        </w:rPr>
        <w:t>городского округа Тольятти</w:t>
      </w:r>
      <w:r w:rsidR="000C712E" w:rsidRPr="00443340">
        <w:rPr>
          <w:bCs/>
          <w:sz w:val="27"/>
          <w:szCs w:val="27"/>
        </w:rPr>
        <w:t xml:space="preserve"> «</w:t>
      </w:r>
      <w:r w:rsidR="000C712E" w:rsidRPr="00443340">
        <w:rPr>
          <w:bCs/>
          <w:iCs/>
          <w:sz w:val="27"/>
          <w:szCs w:val="27"/>
        </w:rPr>
        <w:t xml:space="preserve">О признании утратившим силу решения  Думы городского округа Тольятти от 20.01.2021 года №809 «О толковании части 2 статьи 53 Регламента Думы городского округа Тольятти, утвержденного решением Думы городского округа Тольятти от 03.10.2018 № 3» </w:t>
      </w:r>
      <w:r w:rsidR="0036669B" w:rsidRPr="00443340">
        <w:rPr>
          <w:bCs/>
          <w:iCs/>
          <w:sz w:val="27"/>
          <w:szCs w:val="27"/>
        </w:rPr>
        <w:t>(далее – проект решения Думы),</w:t>
      </w:r>
      <w:r w:rsidRPr="00443340">
        <w:rPr>
          <w:sz w:val="27"/>
          <w:szCs w:val="27"/>
        </w:rPr>
        <w:t xml:space="preserve"> необходимо отметить следующее. </w:t>
      </w:r>
    </w:p>
    <w:p w:rsidR="004D51F1" w:rsidRPr="00443340" w:rsidRDefault="00026088" w:rsidP="00443340">
      <w:pPr>
        <w:tabs>
          <w:tab w:val="left" w:pos="9353"/>
        </w:tabs>
        <w:snapToGrid w:val="0"/>
        <w:spacing w:line="276" w:lineRule="auto"/>
        <w:ind w:right="-3" w:firstLine="567"/>
        <w:contextualSpacing/>
        <w:jc w:val="both"/>
        <w:rPr>
          <w:iCs/>
          <w:sz w:val="27"/>
          <w:szCs w:val="27"/>
        </w:rPr>
      </w:pPr>
      <w:r w:rsidRPr="00443340">
        <w:rPr>
          <w:iCs/>
          <w:sz w:val="27"/>
          <w:szCs w:val="27"/>
        </w:rPr>
        <w:t xml:space="preserve"> </w:t>
      </w:r>
      <w:r w:rsidR="004D51F1" w:rsidRPr="00443340">
        <w:rPr>
          <w:iCs/>
          <w:sz w:val="27"/>
          <w:szCs w:val="27"/>
        </w:rPr>
        <w:t>Регламент</w:t>
      </w:r>
      <w:r w:rsidR="00EF7288" w:rsidRPr="00443340">
        <w:rPr>
          <w:iCs/>
          <w:sz w:val="27"/>
          <w:szCs w:val="27"/>
        </w:rPr>
        <w:t xml:space="preserve"> </w:t>
      </w:r>
      <w:r w:rsidR="004D51F1" w:rsidRPr="00443340">
        <w:rPr>
          <w:iCs/>
          <w:sz w:val="27"/>
          <w:szCs w:val="27"/>
        </w:rPr>
        <w:t xml:space="preserve"> Думы городского округа Тольятти </w:t>
      </w:r>
      <w:r w:rsidR="00EF7288" w:rsidRPr="00443340">
        <w:rPr>
          <w:iCs/>
          <w:sz w:val="27"/>
          <w:szCs w:val="27"/>
        </w:rPr>
        <w:t>утвержден р</w:t>
      </w:r>
      <w:r w:rsidR="004D51F1" w:rsidRPr="00443340">
        <w:rPr>
          <w:iCs/>
          <w:sz w:val="27"/>
          <w:szCs w:val="27"/>
        </w:rPr>
        <w:t>ешение</w:t>
      </w:r>
      <w:r w:rsidR="00EF7288" w:rsidRPr="00443340">
        <w:rPr>
          <w:iCs/>
          <w:sz w:val="27"/>
          <w:szCs w:val="27"/>
        </w:rPr>
        <w:t>м</w:t>
      </w:r>
      <w:r w:rsidR="004D51F1" w:rsidRPr="00443340">
        <w:rPr>
          <w:iCs/>
          <w:sz w:val="27"/>
          <w:szCs w:val="27"/>
        </w:rPr>
        <w:t xml:space="preserve"> Думы городского округа Тольятти Самарской области от 18.10.2018 </w:t>
      </w:r>
      <w:r w:rsidR="00EF7288" w:rsidRPr="00443340">
        <w:rPr>
          <w:iCs/>
          <w:sz w:val="27"/>
          <w:szCs w:val="27"/>
        </w:rPr>
        <w:t xml:space="preserve">№ </w:t>
      </w:r>
      <w:r w:rsidR="004D51F1" w:rsidRPr="00443340">
        <w:rPr>
          <w:iCs/>
          <w:sz w:val="27"/>
          <w:szCs w:val="27"/>
        </w:rPr>
        <w:t>3</w:t>
      </w:r>
      <w:r w:rsidR="00EF7288" w:rsidRPr="00443340">
        <w:rPr>
          <w:iCs/>
          <w:sz w:val="27"/>
          <w:szCs w:val="27"/>
        </w:rPr>
        <w:t>.</w:t>
      </w:r>
    </w:p>
    <w:p w:rsidR="00EC4BBC" w:rsidRPr="00443340" w:rsidRDefault="00EC4BBC" w:rsidP="00443340">
      <w:pPr>
        <w:shd w:val="clear" w:color="auto" w:fill="FFFFFF"/>
        <w:spacing w:line="276" w:lineRule="auto"/>
        <w:ind w:firstLine="709"/>
        <w:jc w:val="both"/>
        <w:rPr>
          <w:color w:val="000000"/>
          <w:sz w:val="27"/>
          <w:szCs w:val="27"/>
        </w:rPr>
      </w:pPr>
      <w:r w:rsidRPr="00443340">
        <w:rPr>
          <w:color w:val="000000"/>
          <w:sz w:val="27"/>
          <w:szCs w:val="27"/>
        </w:rPr>
        <w:t xml:space="preserve">Согласно части 2 статьи 25 Устава городского округа Тольятти к иным полномочиям Думы относится толкование Устава г.о. Тольятти и нормативных правовых актов, принятых Думой.  </w:t>
      </w:r>
    </w:p>
    <w:p w:rsidR="00873264" w:rsidRPr="00443340" w:rsidRDefault="00443340" w:rsidP="00443340">
      <w:pPr>
        <w:tabs>
          <w:tab w:val="left" w:pos="9353"/>
        </w:tabs>
        <w:snapToGrid w:val="0"/>
        <w:spacing w:line="276" w:lineRule="auto"/>
        <w:ind w:right="-3" w:firstLine="567"/>
        <w:contextualSpacing/>
        <w:jc w:val="both"/>
        <w:rPr>
          <w:iCs/>
          <w:sz w:val="27"/>
          <w:szCs w:val="27"/>
        </w:rPr>
      </w:pPr>
      <w:r w:rsidRPr="00443340">
        <w:rPr>
          <w:iCs/>
          <w:sz w:val="27"/>
          <w:szCs w:val="27"/>
        </w:rPr>
        <w:t xml:space="preserve"> </w:t>
      </w:r>
      <w:r w:rsidR="00873264" w:rsidRPr="00443340">
        <w:rPr>
          <w:iCs/>
          <w:sz w:val="27"/>
          <w:szCs w:val="27"/>
        </w:rPr>
        <w:t>Решением  Думы городского округа Тольятти от 20.01.2021 года №809 дано то</w:t>
      </w:r>
      <w:r w:rsidR="00DE552A">
        <w:rPr>
          <w:iCs/>
          <w:sz w:val="27"/>
          <w:szCs w:val="27"/>
        </w:rPr>
        <w:t>л</w:t>
      </w:r>
      <w:r w:rsidR="00873264" w:rsidRPr="00443340">
        <w:rPr>
          <w:iCs/>
          <w:sz w:val="27"/>
          <w:szCs w:val="27"/>
        </w:rPr>
        <w:t>кование норм части 2 статьи 53 Регламента Думы городского округа Тольятти, утвержденного решением Думы городского округа Тольятти от 03.10.2018 №3 (далее – решение Думы №809).</w:t>
      </w:r>
    </w:p>
    <w:p w:rsidR="00873264" w:rsidRPr="00443340" w:rsidRDefault="00873264" w:rsidP="00443340">
      <w:pPr>
        <w:tabs>
          <w:tab w:val="left" w:pos="9353"/>
        </w:tabs>
        <w:snapToGrid w:val="0"/>
        <w:spacing w:line="276" w:lineRule="auto"/>
        <w:ind w:right="-3" w:firstLine="567"/>
        <w:contextualSpacing/>
        <w:jc w:val="both"/>
        <w:rPr>
          <w:iCs/>
          <w:sz w:val="27"/>
          <w:szCs w:val="27"/>
        </w:rPr>
      </w:pPr>
      <w:r w:rsidRPr="00443340">
        <w:rPr>
          <w:iCs/>
          <w:sz w:val="27"/>
          <w:szCs w:val="27"/>
        </w:rPr>
        <w:t xml:space="preserve">Решением Самарского областного суда от 19.04.2021г. (далее – решение суда) решение Думы №809 </w:t>
      </w:r>
      <w:r w:rsidR="005C718C" w:rsidRPr="00443340">
        <w:rPr>
          <w:iCs/>
          <w:sz w:val="27"/>
          <w:szCs w:val="27"/>
        </w:rPr>
        <w:t>п</w:t>
      </w:r>
      <w:r w:rsidRPr="00443340">
        <w:rPr>
          <w:iCs/>
          <w:sz w:val="27"/>
          <w:szCs w:val="27"/>
        </w:rPr>
        <w:t>ризнано недействующим с</w:t>
      </w:r>
      <w:r w:rsidR="00DE552A">
        <w:rPr>
          <w:iCs/>
          <w:sz w:val="27"/>
          <w:szCs w:val="27"/>
        </w:rPr>
        <w:t xml:space="preserve"> момента его принятия</w:t>
      </w:r>
      <w:r w:rsidRPr="00443340">
        <w:rPr>
          <w:iCs/>
          <w:sz w:val="27"/>
          <w:szCs w:val="27"/>
        </w:rPr>
        <w:t>.</w:t>
      </w:r>
    </w:p>
    <w:p w:rsidR="00873264" w:rsidRPr="00443340" w:rsidRDefault="00873264" w:rsidP="00443340">
      <w:pPr>
        <w:tabs>
          <w:tab w:val="left" w:pos="9353"/>
        </w:tabs>
        <w:snapToGrid w:val="0"/>
        <w:spacing w:line="276" w:lineRule="auto"/>
        <w:ind w:right="-3" w:firstLine="567"/>
        <w:contextualSpacing/>
        <w:jc w:val="both"/>
        <w:rPr>
          <w:iCs/>
          <w:sz w:val="27"/>
          <w:szCs w:val="27"/>
        </w:rPr>
      </w:pPr>
      <w:r w:rsidRPr="00443340">
        <w:rPr>
          <w:iCs/>
          <w:sz w:val="27"/>
          <w:szCs w:val="27"/>
        </w:rPr>
        <w:t>07.07.2021г. апелляционным определением</w:t>
      </w:r>
      <w:proofErr w:type="gramStart"/>
      <w:r w:rsidRPr="00443340">
        <w:rPr>
          <w:iCs/>
          <w:sz w:val="27"/>
          <w:szCs w:val="27"/>
        </w:rPr>
        <w:t xml:space="preserve"> Ч</w:t>
      </w:r>
      <w:proofErr w:type="gramEnd"/>
      <w:r w:rsidRPr="00443340">
        <w:rPr>
          <w:iCs/>
          <w:sz w:val="27"/>
          <w:szCs w:val="27"/>
        </w:rPr>
        <w:t>етвертого апелляционного суда общей юрисдикции решение Самарского областного суда от 19.04.2021г. оставлено без изменения.</w:t>
      </w:r>
    </w:p>
    <w:p w:rsidR="00873264" w:rsidRPr="00443340" w:rsidRDefault="00873264" w:rsidP="00443340">
      <w:pPr>
        <w:tabs>
          <w:tab w:val="left" w:pos="9353"/>
        </w:tabs>
        <w:snapToGrid w:val="0"/>
        <w:spacing w:line="276" w:lineRule="auto"/>
        <w:ind w:right="-3" w:firstLine="567"/>
        <w:contextualSpacing/>
        <w:jc w:val="both"/>
        <w:rPr>
          <w:iCs/>
          <w:sz w:val="27"/>
          <w:szCs w:val="27"/>
        </w:rPr>
      </w:pPr>
      <w:r w:rsidRPr="00443340">
        <w:rPr>
          <w:iCs/>
          <w:sz w:val="27"/>
          <w:szCs w:val="27"/>
        </w:rPr>
        <w:t>Определение суда апелляционной инстанции вступает в законную силу со дня его принятия (ст.311 КАС РФ).</w:t>
      </w:r>
    </w:p>
    <w:p w:rsidR="00873264" w:rsidRPr="00443340" w:rsidRDefault="00026088" w:rsidP="00443340">
      <w:pPr>
        <w:tabs>
          <w:tab w:val="left" w:pos="9353"/>
        </w:tabs>
        <w:snapToGrid w:val="0"/>
        <w:spacing w:line="276" w:lineRule="auto"/>
        <w:ind w:right="-3" w:firstLine="567"/>
        <w:contextualSpacing/>
        <w:jc w:val="both"/>
        <w:rPr>
          <w:iCs/>
          <w:sz w:val="27"/>
          <w:szCs w:val="27"/>
        </w:rPr>
      </w:pPr>
      <w:proofErr w:type="gramStart"/>
      <w:r w:rsidRPr="00443340">
        <w:rPr>
          <w:iCs/>
          <w:sz w:val="27"/>
          <w:szCs w:val="27"/>
        </w:rPr>
        <w:t xml:space="preserve">В силу требований ст. 73 Федерального закона от 06.10.2003 № 131-ФЗ «Об общих принципах организации местного самоуправления в Российской Федерации» в случае, если соответствующим судом установлено, что представительным органом муниципального образования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представительный орган муниципального образования в течение </w:t>
      </w:r>
      <w:r w:rsidRPr="00443340">
        <w:rPr>
          <w:iCs/>
          <w:sz w:val="27"/>
          <w:szCs w:val="27"/>
        </w:rPr>
        <w:lastRenderedPageBreak/>
        <w:t>трех</w:t>
      </w:r>
      <w:proofErr w:type="gramEnd"/>
      <w:r w:rsidRPr="00443340">
        <w:rPr>
          <w:iCs/>
          <w:sz w:val="27"/>
          <w:szCs w:val="27"/>
        </w:rPr>
        <w:t xml:space="preserve"> </w:t>
      </w:r>
      <w:proofErr w:type="gramStart"/>
      <w:r w:rsidRPr="00443340">
        <w:rPr>
          <w:iCs/>
          <w:sz w:val="27"/>
          <w:szCs w:val="27"/>
        </w:rPr>
        <w:t>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одного месяца после вступления в силу решения</w:t>
      </w:r>
      <w:proofErr w:type="gramEnd"/>
      <w:r w:rsidRPr="00443340">
        <w:rPr>
          <w:iCs/>
          <w:sz w:val="27"/>
          <w:szCs w:val="27"/>
        </w:rPr>
        <w:t xml:space="preserve"> суда, установившего факт неисполнения данного решения,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8763DD" w:rsidRPr="00443340" w:rsidRDefault="00AA6768" w:rsidP="00443340">
      <w:pPr>
        <w:autoSpaceDE w:val="0"/>
        <w:autoSpaceDN w:val="0"/>
        <w:adjustRightInd w:val="0"/>
        <w:spacing w:line="276" w:lineRule="auto"/>
        <w:ind w:firstLine="540"/>
        <w:jc w:val="both"/>
        <w:rPr>
          <w:sz w:val="27"/>
          <w:szCs w:val="27"/>
        </w:rPr>
      </w:pPr>
      <w:r w:rsidRPr="00443340">
        <w:rPr>
          <w:sz w:val="27"/>
          <w:szCs w:val="27"/>
        </w:rPr>
        <w:t>Учитывая вышеизложенное, в</w:t>
      </w:r>
      <w:r w:rsidR="0021683D" w:rsidRPr="00443340">
        <w:rPr>
          <w:sz w:val="27"/>
          <w:szCs w:val="27"/>
        </w:rPr>
        <w:t xml:space="preserve">о исполнение указанных судебных актов предлагается </w:t>
      </w:r>
      <w:r w:rsidR="004B3874" w:rsidRPr="00443340">
        <w:rPr>
          <w:sz w:val="27"/>
          <w:szCs w:val="27"/>
        </w:rPr>
        <w:t>признать утратившим силу решение Думы №809.</w:t>
      </w:r>
    </w:p>
    <w:p w:rsidR="002C63B3" w:rsidRDefault="002C63B3" w:rsidP="002C63B3">
      <w:pPr>
        <w:widowControl w:val="0"/>
        <w:autoSpaceDE w:val="0"/>
        <w:autoSpaceDN w:val="0"/>
        <w:adjustRightInd w:val="0"/>
        <w:spacing w:line="276" w:lineRule="auto"/>
        <w:ind w:right="-1"/>
        <w:jc w:val="both"/>
        <w:rPr>
          <w:sz w:val="27"/>
          <w:szCs w:val="27"/>
        </w:rPr>
      </w:pPr>
      <w:r>
        <w:rPr>
          <w:sz w:val="27"/>
          <w:szCs w:val="27"/>
        </w:rPr>
        <w:t xml:space="preserve">         </w:t>
      </w:r>
      <w:r w:rsidRPr="003E3B7C">
        <w:rPr>
          <w:sz w:val="27"/>
          <w:szCs w:val="27"/>
        </w:rPr>
        <w:t>Представленный вопрос относится к предметам ведения постоянной комиссии по местному самоуправлению и взаимодействию с общественными и некоммерческими организациями.</w:t>
      </w:r>
    </w:p>
    <w:p w:rsidR="00025A3C" w:rsidRDefault="00025A3C" w:rsidP="002C63B3">
      <w:pPr>
        <w:widowControl w:val="0"/>
        <w:autoSpaceDE w:val="0"/>
        <w:autoSpaceDN w:val="0"/>
        <w:adjustRightInd w:val="0"/>
        <w:spacing w:line="276" w:lineRule="auto"/>
        <w:ind w:right="-1"/>
        <w:jc w:val="both"/>
        <w:rPr>
          <w:sz w:val="27"/>
          <w:szCs w:val="27"/>
        </w:rPr>
      </w:pPr>
    </w:p>
    <w:p w:rsidR="00025A3C" w:rsidRDefault="00025A3C" w:rsidP="002C63B3">
      <w:pPr>
        <w:widowControl w:val="0"/>
        <w:autoSpaceDE w:val="0"/>
        <w:autoSpaceDN w:val="0"/>
        <w:adjustRightInd w:val="0"/>
        <w:spacing w:line="276" w:lineRule="auto"/>
        <w:ind w:right="-1"/>
        <w:jc w:val="both"/>
        <w:rPr>
          <w:sz w:val="27"/>
          <w:szCs w:val="27"/>
        </w:rPr>
      </w:pPr>
    </w:p>
    <w:p w:rsidR="00025A3C" w:rsidRPr="003E3B7C" w:rsidRDefault="00025A3C" w:rsidP="002C63B3">
      <w:pPr>
        <w:widowControl w:val="0"/>
        <w:autoSpaceDE w:val="0"/>
        <w:autoSpaceDN w:val="0"/>
        <w:adjustRightInd w:val="0"/>
        <w:spacing w:line="276" w:lineRule="auto"/>
        <w:ind w:right="-1"/>
        <w:jc w:val="both"/>
        <w:rPr>
          <w:sz w:val="27"/>
          <w:szCs w:val="27"/>
        </w:rPr>
      </w:pPr>
    </w:p>
    <w:p w:rsidR="008763DD" w:rsidRPr="00443340" w:rsidRDefault="008763DD" w:rsidP="002C63B3">
      <w:pPr>
        <w:tabs>
          <w:tab w:val="left" w:pos="9214"/>
          <w:tab w:val="left" w:pos="9353"/>
        </w:tabs>
        <w:spacing w:line="276" w:lineRule="auto"/>
        <w:ind w:right="-3" w:firstLine="567"/>
        <w:contextualSpacing/>
        <w:jc w:val="both"/>
        <w:rPr>
          <w:rFonts w:eastAsiaTheme="minorHAnsi"/>
          <w:sz w:val="27"/>
          <w:szCs w:val="27"/>
          <w:lang w:eastAsia="en-US"/>
        </w:rPr>
      </w:pPr>
      <w:r w:rsidRPr="00443340">
        <w:rPr>
          <w:rFonts w:eastAsiaTheme="minorHAnsi"/>
          <w:b/>
          <w:sz w:val="27"/>
          <w:szCs w:val="27"/>
          <w:lang w:eastAsia="en-US"/>
        </w:rPr>
        <w:t>Вывод:</w:t>
      </w:r>
      <w:r w:rsidRPr="00443340">
        <w:rPr>
          <w:rFonts w:eastAsiaTheme="minorHAnsi"/>
          <w:sz w:val="27"/>
          <w:szCs w:val="27"/>
          <w:lang w:eastAsia="en-US"/>
        </w:rPr>
        <w:t xml:space="preserve"> вопрос относится к компетенции Думы городского округа Тольятти и может быть рассмотрен на ее заседании.</w:t>
      </w:r>
    </w:p>
    <w:p w:rsidR="008763DD" w:rsidRPr="00443340" w:rsidRDefault="008763DD" w:rsidP="002C63B3">
      <w:pPr>
        <w:tabs>
          <w:tab w:val="left" w:pos="9353"/>
        </w:tabs>
        <w:spacing w:line="276" w:lineRule="auto"/>
        <w:ind w:right="-3" w:firstLine="567"/>
        <w:contextualSpacing/>
        <w:jc w:val="both"/>
        <w:rPr>
          <w:rFonts w:eastAsiaTheme="minorHAnsi"/>
          <w:sz w:val="27"/>
          <w:szCs w:val="27"/>
          <w:lang w:eastAsia="en-US"/>
        </w:rPr>
      </w:pPr>
      <w:r w:rsidRPr="00443340">
        <w:rPr>
          <w:rFonts w:eastAsiaTheme="minorHAnsi"/>
          <w:sz w:val="27"/>
          <w:szCs w:val="27"/>
          <w:lang w:eastAsia="en-US"/>
        </w:rPr>
        <w:t xml:space="preserve">   </w:t>
      </w:r>
    </w:p>
    <w:p w:rsidR="00443340" w:rsidRPr="00443340" w:rsidRDefault="00443340" w:rsidP="00443340">
      <w:pPr>
        <w:tabs>
          <w:tab w:val="left" w:pos="9353"/>
        </w:tabs>
        <w:spacing w:line="276" w:lineRule="auto"/>
        <w:ind w:right="-3" w:firstLine="567"/>
        <w:contextualSpacing/>
        <w:jc w:val="both"/>
        <w:rPr>
          <w:rFonts w:eastAsiaTheme="minorHAnsi"/>
          <w:sz w:val="27"/>
          <w:szCs w:val="27"/>
          <w:lang w:eastAsia="en-US"/>
        </w:rPr>
      </w:pPr>
    </w:p>
    <w:p w:rsidR="00443340" w:rsidRPr="00443340" w:rsidRDefault="00443340" w:rsidP="00443340">
      <w:pPr>
        <w:tabs>
          <w:tab w:val="left" w:pos="9353"/>
        </w:tabs>
        <w:spacing w:line="276" w:lineRule="auto"/>
        <w:ind w:right="-3" w:firstLine="567"/>
        <w:contextualSpacing/>
        <w:jc w:val="both"/>
        <w:rPr>
          <w:rFonts w:eastAsiaTheme="minorHAnsi"/>
          <w:sz w:val="27"/>
          <w:szCs w:val="27"/>
          <w:lang w:eastAsia="en-US"/>
        </w:rPr>
      </w:pPr>
    </w:p>
    <w:p w:rsidR="00AA6768" w:rsidRPr="00AA6768" w:rsidRDefault="008763DD" w:rsidP="008763DD">
      <w:pPr>
        <w:tabs>
          <w:tab w:val="left" w:pos="9353"/>
        </w:tabs>
        <w:ind w:right="-3" w:firstLine="567"/>
        <w:contextualSpacing/>
        <w:jc w:val="both"/>
        <w:rPr>
          <w:rFonts w:eastAsiaTheme="minorHAnsi"/>
          <w:b/>
          <w:sz w:val="28"/>
          <w:szCs w:val="28"/>
          <w:lang w:eastAsia="en-US"/>
        </w:rPr>
      </w:pPr>
      <w:r w:rsidRPr="008763DD">
        <w:rPr>
          <w:rFonts w:eastAsiaTheme="minorHAnsi"/>
          <w:sz w:val="28"/>
          <w:szCs w:val="28"/>
          <w:lang w:eastAsia="en-US"/>
        </w:rPr>
        <w:tab/>
        <w:t xml:space="preserve">       </w:t>
      </w:r>
      <w:r w:rsidR="00AA6768">
        <w:rPr>
          <w:rFonts w:eastAsiaTheme="minorHAnsi"/>
          <w:sz w:val="28"/>
          <w:szCs w:val="28"/>
          <w:lang w:eastAsia="en-US"/>
        </w:rPr>
        <w:t xml:space="preserve">     </w:t>
      </w:r>
      <w:r w:rsidR="0021683D" w:rsidRPr="00AA6768">
        <w:rPr>
          <w:rFonts w:eastAsiaTheme="minorHAnsi"/>
          <w:b/>
          <w:sz w:val="28"/>
          <w:szCs w:val="28"/>
          <w:lang w:eastAsia="en-US"/>
        </w:rPr>
        <w:t>Начальник</w:t>
      </w:r>
      <w:r w:rsidRPr="00AA6768">
        <w:rPr>
          <w:rFonts w:eastAsiaTheme="minorHAnsi"/>
          <w:b/>
          <w:sz w:val="28"/>
          <w:szCs w:val="28"/>
          <w:lang w:eastAsia="en-US"/>
        </w:rPr>
        <w:t xml:space="preserve"> </w:t>
      </w:r>
    </w:p>
    <w:p w:rsidR="008763DD" w:rsidRDefault="008763DD" w:rsidP="00AA6768">
      <w:pPr>
        <w:tabs>
          <w:tab w:val="left" w:pos="9353"/>
        </w:tabs>
        <w:ind w:right="-3"/>
        <w:contextualSpacing/>
        <w:jc w:val="both"/>
        <w:rPr>
          <w:rFonts w:eastAsiaTheme="minorHAnsi"/>
          <w:b/>
          <w:sz w:val="28"/>
          <w:szCs w:val="28"/>
          <w:lang w:eastAsia="en-US"/>
        </w:rPr>
      </w:pPr>
      <w:r w:rsidRPr="00AA6768">
        <w:rPr>
          <w:rFonts w:eastAsiaTheme="minorHAnsi"/>
          <w:b/>
          <w:sz w:val="28"/>
          <w:szCs w:val="28"/>
          <w:lang w:eastAsia="en-US"/>
        </w:rPr>
        <w:t xml:space="preserve">юридического </w:t>
      </w:r>
      <w:r w:rsidR="0021683D" w:rsidRPr="00AA6768">
        <w:rPr>
          <w:rFonts w:eastAsiaTheme="minorHAnsi"/>
          <w:b/>
          <w:sz w:val="28"/>
          <w:szCs w:val="28"/>
          <w:lang w:eastAsia="en-US"/>
        </w:rPr>
        <w:t>отдела</w:t>
      </w:r>
      <w:r w:rsidRPr="00AA6768">
        <w:rPr>
          <w:rFonts w:eastAsiaTheme="minorHAnsi"/>
          <w:b/>
          <w:sz w:val="28"/>
          <w:szCs w:val="28"/>
          <w:lang w:eastAsia="en-US"/>
        </w:rPr>
        <w:t xml:space="preserve">                            </w:t>
      </w:r>
      <w:r w:rsidR="0021683D" w:rsidRPr="00AA6768">
        <w:rPr>
          <w:rFonts w:eastAsiaTheme="minorHAnsi"/>
          <w:b/>
          <w:sz w:val="28"/>
          <w:szCs w:val="28"/>
          <w:lang w:eastAsia="en-US"/>
        </w:rPr>
        <w:t xml:space="preserve">            </w:t>
      </w:r>
      <w:r w:rsidR="00AA6768">
        <w:rPr>
          <w:rFonts w:eastAsiaTheme="minorHAnsi"/>
          <w:b/>
          <w:sz w:val="28"/>
          <w:szCs w:val="28"/>
          <w:lang w:eastAsia="en-US"/>
        </w:rPr>
        <w:t xml:space="preserve">                   </w:t>
      </w:r>
      <w:r w:rsidR="0021683D" w:rsidRPr="00AA6768">
        <w:rPr>
          <w:rFonts w:eastAsiaTheme="minorHAnsi"/>
          <w:b/>
          <w:sz w:val="28"/>
          <w:szCs w:val="28"/>
          <w:lang w:eastAsia="en-US"/>
        </w:rPr>
        <w:t xml:space="preserve"> Е.В. Смирнова</w:t>
      </w:r>
    </w:p>
    <w:p w:rsidR="00AA6768" w:rsidRDefault="00AA6768" w:rsidP="00AA6768">
      <w:pPr>
        <w:tabs>
          <w:tab w:val="left" w:pos="9353"/>
        </w:tabs>
        <w:ind w:right="-3"/>
        <w:contextualSpacing/>
        <w:jc w:val="both"/>
        <w:rPr>
          <w:rFonts w:eastAsiaTheme="minorHAnsi"/>
          <w:b/>
          <w:sz w:val="28"/>
          <w:szCs w:val="28"/>
          <w:lang w:eastAsia="en-US"/>
        </w:rPr>
      </w:pPr>
    </w:p>
    <w:p w:rsidR="00AA6768" w:rsidRDefault="00AA6768" w:rsidP="00AA6768">
      <w:pPr>
        <w:tabs>
          <w:tab w:val="left" w:pos="9353"/>
        </w:tabs>
        <w:ind w:right="-3"/>
        <w:contextualSpacing/>
        <w:jc w:val="both"/>
        <w:rPr>
          <w:rFonts w:eastAsiaTheme="minorHAnsi"/>
          <w:b/>
          <w:sz w:val="28"/>
          <w:szCs w:val="28"/>
          <w:lang w:eastAsia="en-US"/>
        </w:rPr>
      </w:pPr>
    </w:p>
    <w:p w:rsidR="00AA6768" w:rsidRDefault="00AA6768" w:rsidP="00AA6768">
      <w:pPr>
        <w:tabs>
          <w:tab w:val="left" w:pos="9353"/>
        </w:tabs>
        <w:ind w:right="-3"/>
        <w:contextualSpacing/>
        <w:jc w:val="both"/>
        <w:rPr>
          <w:rFonts w:eastAsiaTheme="minorHAnsi"/>
          <w:b/>
          <w:sz w:val="28"/>
          <w:szCs w:val="28"/>
          <w:lang w:eastAsia="en-US"/>
        </w:rPr>
      </w:pPr>
    </w:p>
    <w:p w:rsidR="00AA6768" w:rsidRDefault="00AA6768" w:rsidP="00AA6768">
      <w:pPr>
        <w:tabs>
          <w:tab w:val="left" w:pos="9353"/>
        </w:tabs>
        <w:ind w:right="-3"/>
        <w:contextualSpacing/>
        <w:jc w:val="both"/>
        <w:rPr>
          <w:rFonts w:eastAsiaTheme="minorHAnsi"/>
          <w:b/>
          <w:sz w:val="28"/>
          <w:szCs w:val="28"/>
          <w:lang w:eastAsia="en-US"/>
        </w:rPr>
      </w:pPr>
    </w:p>
    <w:p w:rsidR="00AA6768" w:rsidRDefault="00AA6768" w:rsidP="00AA6768">
      <w:pPr>
        <w:tabs>
          <w:tab w:val="left" w:pos="9353"/>
        </w:tabs>
        <w:ind w:right="-3"/>
        <w:contextualSpacing/>
        <w:jc w:val="both"/>
        <w:rPr>
          <w:rFonts w:eastAsiaTheme="minorHAnsi"/>
          <w:b/>
          <w:sz w:val="28"/>
          <w:szCs w:val="28"/>
          <w:lang w:eastAsia="en-US"/>
        </w:rPr>
      </w:pPr>
    </w:p>
    <w:p w:rsidR="00AA6768" w:rsidRDefault="00AA6768" w:rsidP="00AA6768">
      <w:pPr>
        <w:tabs>
          <w:tab w:val="left" w:pos="9353"/>
        </w:tabs>
        <w:ind w:right="-3"/>
        <w:contextualSpacing/>
        <w:jc w:val="both"/>
        <w:rPr>
          <w:rFonts w:eastAsiaTheme="minorHAnsi"/>
          <w:b/>
          <w:sz w:val="28"/>
          <w:szCs w:val="28"/>
          <w:lang w:eastAsia="en-US"/>
        </w:rPr>
      </w:pPr>
    </w:p>
    <w:p w:rsidR="00AA6768" w:rsidRDefault="00AA6768" w:rsidP="00AA6768">
      <w:pPr>
        <w:tabs>
          <w:tab w:val="left" w:pos="9353"/>
        </w:tabs>
        <w:ind w:right="-3"/>
        <w:contextualSpacing/>
        <w:jc w:val="both"/>
        <w:rPr>
          <w:rFonts w:eastAsiaTheme="minorHAnsi"/>
          <w:b/>
          <w:sz w:val="28"/>
          <w:szCs w:val="28"/>
          <w:lang w:eastAsia="en-US"/>
        </w:rPr>
      </w:pPr>
    </w:p>
    <w:p w:rsidR="00AA6768" w:rsidRDefault="00AA6768" w:rsidP="00AA6768">
      <w:pPr>
        <w:tabs>
          <w:tab w:val="left" w:pos="9353"/>
        </w:tabs>
        <w:ind w:right="-3"/>
        <w:contextualSpacing/>
        <w:jc w:val="both"/>
        <w:rPr>
          <w:rFonts w:eastAsiaTheme="minorHAnsi"/>
          <w:b/>
          <w:sz w:val="28"/>
          <w:szCs w:val="28"/>
          <w:lang w:eastAsia="en-US"/>
        </w:rPr>
      </w:pPr>
    </w:p>
    <w:p w:rsidR="00AA6768" w:rsidRDefault="00AA6768" w:rsidP="00AA6768">
      <w:pPr>
        <w:tabs>
          <w:tab w:val="left" w:pos="9353"/>
        </w:tabs>
        <w:ind w:right="-3"/>
        <w:contextualSpacing/>
        <w:jc w:val="both"/>
        <w:rPr>
          <w:rFonts w:eastAsiaTheme="minorHAnsi"/>
          <w:b/>
          <w:sz w:val="28"/>
          <w:szCs w:val="28"/>
          <w:lang w:eastAsia="en-US"/>
        </w:rPr>
      </w:pPr>
    </w:p>
    <w:p w:rsidR="00AA6768" w:rsidRDefault="00AA6768" w:rsidP="00AA6768">
      <w:pPr>
        <w:tabs>
          <w:tab w:val="left" w:pos="9353"/>
        </w:tabs>
        <w:ind w:right="-3"/>
        <w:contextualSpacing/>
        <w:jc w:val="both"/>
        <w:rPr>
          <w:rFonts w:eastAsiaTheme="minorHAnsi"/>
          <w:b/>
          <w:sz w:val="28"/>
          <w:szCs w:val="28"/>
          <w:lang w:eastAsia="en-US"/>
        </w:rPr>
      </w:pPr>
    </w:p>
    <w:p w:rsidR="00AA6768" w:rsidRPr="00AA6768" w:rsidRDefault="00AA6768" w:rsidP="00AA6768">
      <w:pPr>
        <w:tabs>
          <w:tab w:val="left" w:pos="9353"/>
        </w:tabs>
        <w:ind w:right="-3"/>
        <w:contextualSpacing/>
        <w:jc w:val="both"/>
        <w:rPr>
          <w:rFonts w:eastAsiaTheme="minorHAnsi"/>
          <w:sz w:val="18"/>
          <w:szCs w:val="18"/>
          <w:lang w:eastAsia="en-US"/>
        </w:rPr>
      </w:pPr>
      <w:proofErr w:type="spellStart"/>
      <w:r w:rsidRPr="00AA6768">
        <w:rPr>
          <w:rFonts w:eastAsiaTheme="minorHAnsi"/>
          <w:sz w:val="18"/>
          <w:szCs w:val="18"/>
          <w:lang w:eastAsia="en-US"/>
        </w:rPr>
        <w:t>Силкович</w:t>
      </w:r>
      <w:proofErr w:type="spellEnd"/>
    </w:p>
    <w:p w:rsidR="008763DD" w:rsidRPr="00AA6768" w:rsidRDefault="008763DD" w:rsidP="008763DD">
      <w:pPr>
        <w:tabs>
          <w:tab w:val="left" w:pos="0"/>
          <w:tab w:val="left" w:pos="9353"/>
        </w:tabs>
        <w:ind w:right="-3" w:firstLine="567"/>
        <w:contextualSpacing/>
        <w:jc w:val="both"/>
        <w:rPr>
          <w:rFonts w:eastAsiaTheme="minorHAnsi"/>
          <w:b/>
          <w:sz w:val="28"/>
          <w:szCs w:val="28"/>
          <w:lang w:eastAsia="en-US"/>
        </w:rPr>
      </w:pPr>
    </w:p>
    <w:p w:rsidR="008763DD" w:rsidRPr="00AA6768" w:rsidRDefault="008763DD" w:rsidP="008763DD">
      <w:pPr>
        <w:tabs>
          <w:tab w:val="left" w:pos="0"/>
          <w:tab w:val="left" w:pos="9353"/>
        </w:tabs>
        <w:ind w:right="-3" w:firstLine="567"/>
        <w:contextualSpacing/>
        <w:jc w:val="both"/>
        <w:rPr>
          <w:rFonts w:eastAsiaTheme="minorHAnsi"/>
          <w:b/>
          <w:sz w:val="28"/>
          <w:szCs w:val="28"/>
          <w:lang w:eastAsia="en-US"/>
        </w:rPr>
      </w:pPr>
    </w:p>
    <w:p w:rsidR="008763DD" w:rsidRPr="00AA6768" w:rsidRDefault="008763DD" w:rsidP="008763DD">
      <w:pPr>
        <w:tabs>
          <w:tab w:val="left" w:pos="0"/>
          <w:tab w:val="left" w:pos="9353"/>
        </w:tabs>
        <w:ind w:right="-3" w:firstLine="567"/>
        <w:contextualSpacing/>
        <w:jc w:val="both"/>
        <w:rPr>
          <w:rFonts w:eastAsiaTheme="minorHAnsi"/>
          <w:b/>
          <w:sz w:val="28"/>
          <w:szCs w:val="28"/>
          <w:lang w:eastAsia="en-US"/>
        </w:rPr>
      </w:pPr>
    </w:p>
    <w:p w:rsidR="008763DD" w:rsidRPr="008763DD" w:rsidRDefault="008763DD" w:rsidP="008763DD">
      <w:pPr>
        <w:tabs>
          <w:tab w:val="left" w:pos="0"/>
          <w:tab w:val="left" w:pos="9353"/>
        </w:tabs>
        <w:ind w:right="-3" w:firstLine="567"/>
        <w:contextualSpacing/>
        <w:jc w:val="both"/>
        <w:rPr>
          <w:rFonts w:eastAsiaTheme="minorHAnsi"/>
          <w:sz w:val="28"/>
          <w:szCs w:val="28"/>
          <w:lang w:eastAsia="en-US"/>
        </w:rPr>
      </w:pPr>
    </w:p>
    <w:p w:rsidR="008763DD" w:rsidRPr="008763DD" w:rsidRDefault="008763DD" w:rsidP="008763DD">
      <w:pPr>
        <w:tabs>
          <w:tab w:val="left" w:pos="0"/>
          <w:tab w:val="left" w:pos="9353"/>
        </w:tabs>
        <w:ind w:right="-3" w:firstLine="567"/>
        <w:contextualSpacing/>
        <w:jc w:val="both"/>
        <w:rPr>
          <w:rFonts w:eastAsiaTheme="minorHAnsi"/>
          <w:sz w:val="28"/>
          <w:szCs w:val="28"/>
          <w:lang w:eastAsia="en-US"/>
        </w:rPr>
      </w:pPr>
    </w:p>
    <w:p w:rsidR="008763DD" w:rsidRPr="008763DD" w:rsidRDefault="008763DD" w:rsidP="008763DD">
      <w:pPr>
        <w:tabs>
          <w:tab w:val="left" w:pos="9353"/>
        </w:tabs>
        <w:autoSpaceDE w:val="0"/>
        <w:autoSpaceDN w:val="0"/>
        <w:adjustRightInd w:val="0"/>
        <w:ind w:right="-2" w:firstLine="567"/>
        <w:contextualSpacing/>
        <w:jc w:val="both"/>
        <w:rPr>
          <w:rFonts w:eastAsiaTheme="minorHAnsi"/>
          <w:sz w:val="28"/>
          <w:szCs w:val="28"/>
          <w:lang w:eastAsia="en-US"/>
        </w:rPr>
      </w:pPr>
    </w:p>
    <w:p w:rsidR="008763DD" w:rsidRPr="008763DD" w:rsidRDefault="008763DD" w:rsidP="008763DD">
      <w:pPr>
        <w:ind w:firstLine="567"/>
        <w:contextualSpacing/>
        <w:jc w:val="center"/>
        <w:rPr>
          <w:rFonts w:eastAsiaTheme="minorHAnsi"/>
          <w:sz w:val="28"/>
          <w:szCs w:val="28"/>
          <w:lang w:eastAsia="en-US"/>
        </w:rPr>
      </w:pPr>
    </w:p>
    <w:p w:rsidR="008763DD" w:rsidRPr="008763DD" w:rsidRDefault="008763DD" w:rsidP="008763DD">
      <w:pPr>
        <w:spacing w:after="200" w:line="276" w:lineRule="auto"/>
        <w:ind w:firstLine="567"/>
        <w:rPr>
          <w:rFonts w:asciiTheme="minorHAnsi" w:eastAsiaTheme="minorHAnsi" w:hAnsiTheme="minorHAnsi" w:cstheme="minorBidi"/>
          <w:sz w:val="22"/>
          <w:szCs w:val="22"/>
          <w:lang w:eastAsia="en-US"/>
        </w:rPr>
      </w:pPr>
    </w:p>
    <w:sectPr w:rsidR="008763DD" w:rsidRPr="008763DD" w:rsidSect="006F40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82D5D"/>
    <w:rsid w:val="00004E73"/>
    <w:rsid w:val="000103A1"/>
    <w:rsid w:val="000106AF"/>
    <w:rsid w:val="0001593B"/>
    <w:rsid w:val="000166F3"/>
    <w:rsid w:val="00021B24"/>
    <w:rsid w:val="00025A3C"/>
    <w:rsid w:val="00026088"/>
    <w:rsid w:val="00026CD8"/>
    <w:rsid w:val="00032EFC"/>
    <w:rsid w:val="000335D6"/>
    <w:rsid w:val="000401C0"/>
    <w:rsid w:val="000401D3"/>
    <w:rsid w:val="00044DDE"/>
    <w:rsid w:val="00045398"/>
    <w:rsid w:val="0004633E"/>
    <w:rsid w:val="00052269"/>
    <w:rsid w:val="00061429"/>
    <w:rsid w:val="0007062C"/>
    <w:rsid w:val="000723D9"/>
    <w:rsid w:val="00073A9C"/>
    <w:rsid w:val="00086448"/>
    <w:rsid w:val="000924D5"/>
    <w:rsid w:val="00092D67"/>
    <w:rsid w:val="00094739"/>
    <w:rsid w:val="000954BF"/>
    <w:rsid w:val="000B3FA2"/>
    <w:rsid w:val="000B55A4"/>
    <w:rsid w:val="000C2FB7"/>
    <w:rsid w:val="000C425D"/>
    <w:rsid w:val="000C712E"/>
    <w:rsid w:val="000D1589"/>
    <w:rsid w:val="000D3D9B"/>
    <w:rsid w:val="000D4D9B"/>
    <w:rsid w:val="000D5F25"/>
    <w:rsid w:val="000E1262"/>
    <w:rsid w:val="000E41C4"/>
    <w:rsid w:val="000E4BA8"/>
    <w:rsid w:val="000E69B0"/>
    <w:rsid w:val="000F46CD"/>
    <w:rsid w:val="000F76E4"/>
    <w:rsid w:val="001007FE"/>
    <w:rsid w:val="001049CB"/>
    <w:rsid w:val="00106D92"/>
    <w:rsid w:val="00107129"/>
    <w:rsid w:val="0011384B"/>
    <w:rsid w:val="00113DF1"/>
    <w:rsid w:val="00116830"/>
    <w:rsid w:val="001243C9"/>
    <w:rsid w:val="001335E3"/>
    <w:rsid w:val="00134251"/>
    <w:rsid w:val="001363DB"/>
    <w:rsid w:val="00136ADC"/>
    <w:rsid w:val="001457CD"/>
    <w:rsid w:val="0014759A"/>
    <w:rsid w:val="001632A4"/>
    <w:rsid w:val="0016369F"/>
    <w:rsid w:val="00163A30"/>
    <w:rsid w:val="0016774A"/>
    <w:rsid w:val="0017391A"/>
    <w:rsid w:val="00176EF2"/>
    <w:rsid w:val="001816D2"/>
    <w:rsid w:val="00182BF1"/>
    <w:rsid w:val="001830CB"/>
    <w:rsid w:val="00191A49"/>
    <w:rsid w:val="001A358B"/>
    <w:rsid w:val="001A4125"/>
    <w:rsid w:val="001A7CF4"/>
    <w:rsid w:val="001B18BD"/>
    <w:rsid w:val="001B4EC8"/>
    <w:rsid w:val="001B7E62"/>
    <w:rsid w:val="001C1424"/>
    <w:rsid w:val="001C3298"/>
    <w:rsid w:val="001C5571"/>
    <w:rsid w:val="001D5B47"/>
    <w:rsid w:val="001D5E84"/>
    <w:rsid w:val="001E0F6A"/>
    <w:rsid w:val="001E7798"/>
    <w:rsid w:val="001F08D7"/>
    <w:rsid w:val="002013E5"/>
    <w:rsid w:val="0020147C"/>
    <w:rsid w:val="00201CEF"/>
    <w:rsid w:val="00215831"/>
    <w:rsid w:val="0021683D"/>
    <w:rsid w:val="00216F64"/>
    <w:rsid w:val="00220A33"/>
    <w:rsid w:val="00221356"/>
    <w:rsid w:val="0022141D"/>
    <w:rsid w:val="002235B1"/>
    <w:rsid w:val="00230279"/>
    <w:rsid w:val="002310CD"/>
    <w:rsid w:val="00231171"/>
    <w:rsid w:val="0023587F"/>
    <w:rsid w:val="0024106B"/>
    <w:rsid w:val="00253DAC"/>
    <w:rsid w:val="00256089"/>
    <w:rsid w:val="002615B1"/>
    <w:rsid w:val="002628C5"/>
    <w:rsid w:val="00262C82"/>
    <w:rsid w:val="00274392"/>
    <w:rsid w:val="00280908"/>
    <w:rsid w:val="002845E8"/>
    <w:rsid w:val="00286686"/>
    <w:rsid w:val="002875A9"/>
    <w:rsid w:val="002951D5"/>
    <w:rsid w:val="00296E26"/>
    <w:rsid w:val="002B3A15"/>
    <w:rsid w:val="002B4705"/>
    <w:rsid w:val="002B481E"/>
    <w:rsid w:val="002C44D6"/>
    <w:rsid w:val="002C5BC6"/>
    <w:rsid w:val="002C63B3"/>
    <w:rsid w:val="002D3394"/>
    <w:rsid w:val="002E0388"/>
    <w:rsid w:val="002E0A9D"/>
    <w:rsid w:val="002E3B08"/>
    <w:rsid w:val="002E3F15"/>
    <w:rsid w:val="002E4360"/>
    <w:rsid w:val="002E5AD7"/>
    <w:rsid w:val="002E6939"/>
    <w:rsid w:val="002F1933"/>
    <w:rsid w:val="002F3618"/>
    <w:rsid w:val="002F610D"/>
    <w:rsid w:val="002F6834"/>
    <w:rsid w:val="002F6B9D"/>
    <w:rsid w:val="002F6D8D"/>
    <w:rsid w:val="003019C9"/>
    <w:rsid w:val="003046BF"/>
    <w:rsid w:val="00304730"/>
    <w:rsid w:val="00305EFD"/>
    <w:rsid w:val="00307158"/>
    <w:rsid w:val="00307D8E"/>
    <w:rsid w:val="003100C8"/>
    <w:rsid w:val="00314DC1"/>
    <w:rsid w:val="00324972"/>
    <w:rsid w:val="003253D0"/>
    <w:rsid w:val="00326B9B"/>
    <w:rsid w:val="00336C3D"/>
    <w:rsid w:val="003428D6"/>
    <w:rsid w:val="00346BFE"/>
    <w:rsid w:val="003507BC"/>
    <w:rsid w:val="0035207F"/>
    <w:rsid w:val="003532E2"/>
    <w:rsid w:val="0035707D"/>
    <w:rsid w:val="00364811"/>
    <w:rsid w:val="0036669B"/>
    <w:rsid w:val="00366CF8"/>
    <w:rsid w:val="00370255"/>
    <w:rsid w:val="0037101F"/>
    <w:rsid w:val="00372952"/>
    <w:rsid w:val="003779EF"/>
    <w:rsid w:val="0038000E"/>
    <w:rsid w:val="00390411"/>
    <w:rsid w:val="00394177"/>
    <w:rsid w:val="003A0828"/>
    <w:rsid w:val="003A0FD4"/>
    <w:rsid w:val="003A45A0"/>
    <w:rsid w:val="003A5A6E"/>
    <w:rsid w:val="003A76C1"/>
    <w:rsid w:val="003A76D2"/>
    <w:rsid w:val="003A7839"/>
    <w:rsid w:val="003B363F"/>
    <w:rsid w:val="003B779E"/>
    <w:rsid w:val="003C5B42"/>
    <w:rsid w:val="003D4A2B"/>
    <w:rsid w:val="003E26B2"/>
    <w:rsid w:val="003E3B90"/>
    <w:rsid w:val="003E631C"/>
    <w:rsid w:val="003F0B18"/>
    <w:rsid w:val="003F0B3C"/>
    <w:rsid w:val="003F3F8C"/>
    <w:rsid w:val="003F4CA9"/>
    <w:rsid w:val="00411149"/>
    <w:rsid w:val="004178D7"/>
    <w:rsid w:val="00421FB0"/>
    <w:rsid w:val="00426319"/>
    <w:rsid w:val="00432CAD"/>
    <w:rsid w:val="0043434F"/>
    <w:rsid w:val="00436996"/>
    <w:rsid w:val="00437761"/>
    <w:rsid w:val="0044097C"/>
    <w:rsid w:val="00441EBD"/>
    <w:rsid w:val="00443340"/>
    <w:rsid w:val="00447FC7"/>
    <w:rsid w:val="00450A57"/>
    <w:rsid w:val="00454F41"/>
    <w:rsid w:val="00457008"/>
    <w:rsid w:val="00464674"/>
    <w:rsid w:val="00465F0C"/>
    <w:rsid w:val="00467425"/>
    <w:rsid w:val="004713FC"/>
    <w:rsid w:val="00471B5F"/>
    <w:rsid w:val="00475175"/>
    <w:rsid w:val="00487347"/>
    <w:rsid w:val="00495008"/>
    <w:rsid w:val="00495160"/>
    <w:rsid w:val="004A0A51"/>
    <w:rsid w:val="004B0A3F"/>
    <w:rsid w:val="004B3874"/>
    <w:rsid w:val="004C3442"/>
    <w:rsid w:val="004C4698"/>
    <w:rsid w:val="004D14EF"/>
    <w:rsid w:val="004D1714"/>
    <w:rsid w:val="004D20D2"/>
    <w:rsid w:val="004D3D6F"/>
    <w:rsid w:val="004D51F1"/>
    <w:rsid w:val="004D6BF5"/>
    <w:rsid w:val="004E3A9C"/>
    <w:rsid w:val="004E5189"/>
    <w:rsid w:val="004E5BEB"/>
    <w:rsid w:val="004F00F6"/>
    <w:rsid w:val="004F3476"/>
    <w:rsid w:val="004F4BB5"/>
    <w:rsid w:val="00500158"/>
    <w:rsid w:val="005128C5"/>
    <w:rsid w:val="00517E8F"/>
    <w:rsid w:val="00520A2A"/>
    <w:rsid w:val="00523043"/>
    <w:rsid w:val="00526570"/>
    <w:rsid w:val="00526A22"/>
    <w:rsid w:val="0053263D"/>
    <w:rsid w:val="0053685B"/>
    <w:rsid w:val="005406DE"/>
    <w:rsid w:val="00543862"/>
    <w:rsid w:val="00546DC6"/>
    <w:rsid w:val="00554C61"/>
    <w:rsid w:val="005607DE"/>
    <w:rsid w:val="00563FC2"/>
    <w:rsid w:val="00583B95"/>
    <w:rsid w:val="00584191"/>
    <w:rsid w:val="00584E04"/>
    <w:rsid w:val="00597D98"/>
    <w:rsid w:val="005A0752"/>
    <w:rsid w:val="005A288D"/>
    <w:rsid w:val="005A696A"/>
    <w:rsid w:val="005B3531"/>
    <w:rsid w:val="005B5024"/>
    <w:rsid w:val="005B68BA"/>
    <w:rsid w:val="005C2183"/>
    <w:rsid w:val="005C6F4E"/>
    <w:rsid w:val="005C718C"/>
    <w:rsid w:val="005D65C8"/>
    <w:rsid w:val="005E017A"/>
    <w:rsid w:val="005E04B7"/>
    <w:rsid w:val="005E179B"/>
    <w:rsid w:val="005E58A6"/>
    <w:rsid w:val="005E6614"/>
    <w:rsid w:val="005F5A01"/>
    <w:rsid w:val="005F5EF8"/>
    <w:rsid w:val="005F6137"/>
    <w:rsid w:val="00604020"/>
    <w:rsid w:val="00606326"/>
    <w:rsid w:val="00614419"/>
    <w:rsid w:val="00622ECC"/>
    <w:rsid w:val="006231E4"/>
    <w:rsid w:val="00626723"/>
    <w:rsid w:val="0063049D"/>
    <w:rsid w:val="006333F8"/>
    <w:rsid w:val="00634165"/>
    <w:rsid w:val="006356B9"/>
    <w:rsid w:val="00636D31"/>
    <w:rsid w:val="00641A01"/>
    <w:rsid w:val="00642E10"/>
    <w:rsid w:val="006455E7"/>
    <w:rsid w:val="00651D7F"/>
    <w:rsid w:val="00654081"/>
    <w:rsid w:val="006632F2"/>
    <w:rsid w:val="00663C45"/>
    <w:rsid w:val="00667B7B"/>
    <w:rsid w:val="00674594"/>
    <w:rsid w:val="006827E6"/>
    <w:rsid w:val="00683F70"/>
    <w:rsid w:val="00686DF4"/>
    <w:rsid w:val="00687E50"/>
    <w:rsid w:val="006929BC"/>
    <w:rsid w:val="00694EF3"/>
    <w:rsid w:val="00695367"/>
    <w:rsid w:val="006A6F88"/>
    <w:rsid w:val="006B52F9"/>
    <w:rsid w:val="006B70C0"/>
    <w:rsid w:val="006C1491"/>
    <w:rsid w:val="006C36EB"/>
    <w:rsid w:val="006C4C9F"/>
    <w:rsid w:val="006C6963"/>
    <w:rsid w:val="006D15FF"/>
    <w:rsid w:val="006D1617"/>
    <w:rsid w:val="006E0219"/>
    <w:rsid w:val="006E0A43"/>
    <w:rsid w:val="006E1889"/>
    <w:rsid w:val="006E49A1"/>
    <w:rsid w:val="006F1567"/>
    <w:rsid w:val="006F23E7"/>
    <w:rsid w:val="006F2819"/>
    <w:rsid w:val="006F36A8"/>
    <w:rsid w:val="006F401E"/>
    <w:rsid w:val="00703413"/>
    <w:rsid w:val="00712BF3"/>
    <w:rsid w:val="00716ACD"/>
    <w:rsid w:val="00716DCB"/>
    <w:rsid w:val="00717A86"/>
    <w:rsid w:val="0072002E"/>
    <w:rsid w:val="00721457"/>
    <w:rsid w:val="00727E21"/>
    <w:rsid w:val="00735A1E"/>
    <w:rsid w:val="007420A3"/>
    <w:rsid w:val="00755903"/>
    <w:rsid w:val="00755976"/>
    <w:rsid w:val="0076313A"/>
    <w:rsid w:val="00764FCF"/>
    <w:rsid w:val="007735F8"/>
    <w:rsid w:val="007763EF"/>
    <w:rsid w:val="00776644"/>
    <w:rsid w:val="007767E1"/>
    <w:rsid w:val="0078570B"/>
    <w:rsid w:val="00791144"/>
    <w:rsid w:val="00792BE7"/>
    <w:rsid w:val="00797984"/>
    <w:rsid w:val="007A0078"/>
    <w:rsid w:val="007A24DD"/>
    <w:rsid w:val="007A3880"/>
    <w:rsid w:val="007A6C3E"/>
    <w:rsid w:val="007A745F"/>
    <w:rsid w:val="007B073F"/>
    <w:rsid w:val="007B1BEA"/>
    <w:rsid w:val="007C06E6"/>
    <w:rsid w:val="007C3153"/>
    <w:rsid w:val="007C323E"/>
    <w:rsid w:val="007C402A"/>
    <w:rsid w:val="007D1B34"/>
    <w:rsid w:val="007D4E08"/>
    <w:rsid w:val="007D4EDC"/>
    <w:rsid w:val="007D7B13"/>
    <w:rsid w:val="007D7B55"/>
    <w:rsid w:val="007E723B"/>
    <w:rsid w:val="007E79C7"/>
    <w:rsid w:val="007F7679"/>
    <w:rsid w:val="008050FD"/>
    <w:rsid w:val="00807533"/>
    <w:rsid w:val="008117BE"/>
    <w:rsid w:val="00811E2C"/>
    <w:rsid w:val="0081378E"/>
    <w:rsid w:val="00816CC2"/>
    <w:rsid w:val="0082095C"/>
    <w:rsid w:val="00821F45"/>
    <w:rsid w:val="008251F9"/>
    <w:rsid w:val="00831466"/>
    <w:rsid w:val="008359A6"/>
    <w:rsid w:val="00835B58"/>
    <w:rsid w:val="00836FD5"/>
    <w:rsid w:val="00837D7D"/>
    <w:rsid w:val="00843571"/>
    <w:rsid w:val="008471A8"/>
    <w:rsid w:val="008522B7"/>
    <w:rsid w:val="00856F38"/>
    <w:rsid w:val="00857A78"/>
    <w:rsid w:val="00860788"/>
    <w:rsid w:val="0086223A"/>
    <w:rsid w:val="00862801"/>
    <w:rsid w:val="00864D59"/>
    <w:rsid w:val="00865FDB"/>
    <w:rsid w:val="00873264"/>
    <w:rsid w:val="0087591A"/>
    <w:rsid w:val="008763DD"/>
    <w:rsid w:val="00885427"/>
    <w:rsid w:val="00890A72"/>
    <w:rsid w:val="00892E34"/>
    <w:rsid w:val="00892FE2"/>
    <w:rsid w:val="008969CA"/>
    <w:rsid w:val="008A0A72"/>
    <w:rsid w:val="008A42FA"/>
    <w:rsid w:val="008A6A3A"/>
    <w:rsid w:val="008B08A4"/>
    <w:rsid w:val="008B483A"/>
    <w:rsid w:val="008B553A"/>
    <w:rsid w:val="008C1FA1"/>
    <w:rsid w:val="008C20D6"/>
    <w:rsid w:val="008C23F0"/>
    <w:rsid w:val="008C7966"/>
    <w:rsid w:val="008D2104"/>
    <w:rsid w:val="008D49A1"/>
    <w:rsid w:val="008E0B9F"/>
    <w:rsid w:val="008E2CED"/>
    <w:rsid w:val="008E6738"/>
    <w:rsid w:val="008F5A96"/>
    <w:rsid w:val="008F62EB"/>
    <w:rsid w:val="0090229D"/>
    <w:rsid w:val="00903F6A"/>
    <w:rsid w:val="009126DA"/>
    <w:rsid w:val="00916CB9"/>
    <w:rsid w:val="00925B21"/>
    <w:rsid w:val="0092689B"/>
    <w:rsid w:val="00926980"/>
    <w:rsid w:val="00937840"/>
    <w:rsid w:val="00940456"/>
    <w:rsid w:val="009450C2"/>
    <w:rsid w:val="00951C0B"/>
    <w:rsid w:val="00951C25"/>
    <w:rsid w:val="009521DA"/>
    <w:rsid w:val="00952FE7"/>
    <w:rsid w:val="00954CDC"/>
    <w:rsid w:val="00954D55"/>
    <w:rsid w:val="00957E04"/>
    <w:rsid w:val="009608B1"/>
    <w:rsid w:val="00962F4B"/>
    <w:rsid w:val="00964542"/>
    <w:rsid w:val="00966B52"/>
    <w:rsid w:val="00980562"/>
    <w:rsid w:val="009815A8"/>
    <w:rsid w:val="00981D25"/>
    <w:rsid w:val="00985816"/>
    <w:rsid w:val="00986DEC"/>
    <w:rsid w:val="00987538"/>
    <w:rsid w:val="00992642"/>
    <w:rsid w:val="00994F97"/>
    <w:rsid w:val="009957EF"/>
    <w:rsid w:val="0099651C"/>
    <w:rsid w:val="0099773D"/>
    <w:rsid w:val="009A1F40"/>
    <w:rsid w:val="009A2440"/>
    <w:rsid w:val="009A3F71"/>
    <w:rsid w:val="009B3997"/>
    <w:rsid w:val="009B4DE4"/>
    <w:rsid w:val="009B6BA4"/>
    <w:rsid w:val="009C0B12"/>
    <w:rsid w:val="009D4E81"/>
    <w:rsid w:val="009D5021"/>
    <w:rsid w:val="009D7B02"/>
    <w:rsid w:val="009E35C5"/>
    <w:rsid w:val="009E551B"/>
    <w:rsid w:val="009E7FA7"/>
    <w:rsid w:val="009F3204"/>
    <w:rsid w:val="00A00D34"/>
    <w:rsid w:val="00A020C9"/>
    <w:rsid w:val="00A02857"/>
    <w:rsid w:val="00A03527"/>
    <w:rsid w:val="00A03A2F"/>
    <w:rsid w:val="00A042B2"/>
    <w:rsid w:val="00A07FC7"/>
    <w:rsid w:val="00A10AEA"/>
    <w:rsid w:val="00A15789"/>
    <w:rsid w:val="00A241F9"/>
    <w:rsid w:val="00A255AF"/>
    <w:rsid w:val="00A256DE"/>
    <w:rsid w:val="00A31E0E"/>
    <w:rsid w:val="00A37EE3"/>
    <w:rsid w:val="00A41088"/>
    <w:rsid w:val="00A4128A"/>
    <w:rsid w:val="00A478F5"/>
    <w:rsid w:val="00A50B70"/>
    <w:rsid w:val="00A51267"/>
    <w:rsid w:val="00A5353B"/>
    <w:rsid w:val="00A5521B"/>
    <w:rsid w:val="00A61FF5"/>
    <w:rsid w:val="00A63D17"/>
    <w:rsid w:val="00A709A5"/>
    <w:rsid w:val="00A84316"/>
    <w:rsid w:val="00A86751"/>
    <w:rsid w:val="00A90142"/>
    <w:rsid w:val="00A90D8B"/>
    <w:rsid w:val="00A90DE4"/>
    <w:rsid w:val="00A926B3"/>
    <w:rsid w:val="00A952F9"/>
    <w:rsid w:val="00A956CE"/>
    <w:rsid w:val="00AA674E"/>
    <w:rsid w:val="00AA6768"/>
    <w:rsid w:val="00AA6833"/>
    <w:rsid w:val="00AB414B"/>
    <w:rsid w:val="00AC25A9"/>
    <w:rsid w:val="00AC52E6"/>
    <w:rsid w:val="00AD193F"/>
    <w:rsid w:val="00AD2E0D"/>
    <w:rsid w:val="00AF170C"/>
    <w:rsid w:val="00AF27E5"/>
    <w:rsid w:val="00AF3556"/>
    <w:rsid w:val="00AF6645"/>
    <w:rsid w:val="00B028F5"/>
    <w:rsid w:val="00B07643"/>
    <w:rsid w:val="00B130F4"/>
    <w:rsid w:val="00B14D27"/>
    <w:rsid w:val="00B15168"/>
    <w:rsid w:val="00B15B49"/>
    <w:rsid w:val="00B216BF"/>
    <w:rsid w:val="00B22566"/>
    <w:rsid w:val="00B22E9A"/>
    <w:rsid w:val="00B23D04"/>
    <w:rsid w:val="00B23E82"/>
    <w:rsid w:val="00B259B7"/>
    <w:rsid w:val="00B25F4A"/>
    <w:rsid w:val="00B265FB"/>
    <w:rsid w:val="00B3033C"/>
    <w:rsid w:val="00B35734"/>
    <w:rsid w:val="00B360E6"/>
    <w:rsid w:val="00B36B0B"/>
    <w:rsid w:val="00B3776A"/>
    <w:rsid w:val="00B42367"/>
    <w:rsid w:val="00B42B03"/>
    <w:rsid w:val="00B44751"/>
    <w:rsid w:val="00B46917"/>
    <w:rsid w:val="00B46AB9"/>
    <w:rsid w:val="00B47D27"/>
    <w:rsid w:val="00B503EA"/>
    <w:rsid w:val="00B5122F"/>
    <w:rsid w:val="00B57073"/>
    <w:rsid w:val="00B610F4"/>
    <w:rsid w:val="00B660BF"/>
    <w:rsid w:val="00B71BD0"/>
    <w:rsid w:val="00B7394C"/>
    <w:rsid w:val="00B7637A"/>
    <w:rsid w:val="00B82FF1"/>
    <w:rsid w:val="00B86691"/>
    <w:rsid w:val="00B917E8"/>
    <w:rsid w:val="00B92C9A"/>
    <w:rsid w:val="00B931D9"/>
    <w:rsid w:val="00B96B24"/>
    <w:rsid w:val="00BA59EB"/>
    <w:rsid w:val="00BB075F"/>
    <w:rsid w:val="00BB3B30"/>
    <w:rsid w:val="00BB594F"/>
    <w:rsid w:val="00BB5CB2"/>
    <w:rsid w:val="00BB678D"/>
    <w:rsid w:val="00BB7385"/>
    <w:rsid w:val="00BC01B7"/>
    <w:rsid w:val="00BC3BF0"/>
    <w:rsid w:val="00BD068D"/>
    <w:rsid w:val="00BD1273"/>
    <w:rsid w:val="00BE194C"/>
    <w:rsid w:val="00BE1DA2"/>
    <w:rsid w:val="00BE7D49"/>
    <w:rsid w:val="00BF0C85"/>
    <w:rsid w:val="00BF2627"/>
    <w:rsid w:val="00BF3C72"/>
    <w:rsid w:val="00BF4A99"/>
    <w:rsid w:val="00BF501B"/>
    <w:rsid w:val="00C0158A"/>
    <w:rsid w:val="00C020AD"/>
    <w:rsid w:val="00C0738B"/>
    <w:rsid w:val="00C15912"/>
    <w:rsid w:val="00C21847"/>
    <w:rsid w:val="00C25096"/>
    <w:rsid w:val="00C276F9"/>
    <w:rsid w:val="00C3142B"/>
    <w:rsid w:val="00C32240"/>
    <w:rsid w:val="00C33C2B"/>
    <w:rsid w:val="00C33D05"/>
    <w:rsid w:val="00C3473E"/>
    <w:rsid w:val="00C34F3E"/>
    <w:rsid w:val="00C35463"/>
    <w:rsid w:val="00C37801"/>
    <w:rsid w:val="00C41FA0"/>
    <w:rsid w:val="00C45D57"/>
    <w:rsid w:val="00C62689"/>
    <w:rsid w:val="00C66A51"/>
    <w:rsid w:val="00C73CF4"/>
    <w:rsid w:val="00C740EE"/>
    <w:rsid w:val="00C74822"/>
    <w:rsid w:val="00C7795A"/>
    <w:rsid w:val="00C82267"/>
    <w:rsid w:val="00C85F07"/>
    <w:rsid w:val="00C87795"/>
    <w:rsid w:val="00C93117"/>
    <w:rsid w:val="00C95D22"/>
    <w:rsid w:val="00CA248C"/>
    <w:rsid w:val="00CB06E1"/>
    <w:rsid w:val="00CB2587"/>
    <w:rsid w:val="00CB69D0"/>
    <w:rsid w:val="00CB74F1"/>
    <w:rsid w:val="00CD0E1E"/>
    <w:rsid w:val="00CD341E"/>
    <w:rsid w:val="00CD4762"/>
    <w:rsid w:val="00CF0F9A"/>
    <w:rsid w:val="00CF31A1"/>
    <w:rsid w:val="00CF76FF"/>
    <w:rsid w:val="00D020AA"/>
    <w:rsid w:val="00D13756"/>
    <w:rsid w:val="00D2156E"/>
    <w:rsid w:val="00D23A94"/>
    <w:rsid w:val="00D25CF7"/>
    <w:rsid w:val="00D330AF"/>
    <w:rsid w:val="00D34C96"/>
    <w:rsid w:val="00D36516"/>
    <w:rsid w:val="00D439BD"/>
    <w:rsid w:val="00D44FB0"/>
    <w:rsid w:val="00D50113"/>
    <w:rsid w:val="00D5435C"/>
    <w:rsid w:val="00D64A2B"/>
    <w:rsid w:val="00D66628"/>
    <w:rsid w:val="00D77CF1"/>
    <w:rsid w:val="00D82D5D"/>
    <w:rsid w:val="00D831EC"/>
    <w:rsid w:val="00D92C04"/>
    <w:rsid w:val="00D93B50"/>
    <w:rsid w:val="00D9524E"/>
    <w:rsid w:val="00DA2CBF"/>
    <w:rsid w:val="00DA3948"/>
    <w:rsid w:val="00DA5D32"/>
    <w:rsid w:val="00DB0B21"/>
    <w:rsid w:val="00DB2468"/>
    <w:rsid w:val="00DB2B48"/>
    <w:rsid w:val="00DB5007"/>
    <w:rsid w:val="00DC23AB"/>
    <w:rsid w:val="00DC717B"/>
    <w:rsid w:val="00DC7CD7"/>
    <w:rsid w:val="00DD48A7"/>
    <w:rsid w:val="00DD7A08"/>
    <w:rsid w:val="00DE0867"/>
    <w:rsid w:val="00DE15BF"/>
    <w:rsid w:val="00DE552A"/>
    <w:rsid w:val="00DF0F84"/>
    <w:rsid w:val="00DF15CE"/>
    <w:rsid w:val="00DF24D2"/>
    <w:rsid w:val="00E0304D"/>
    <w:rsid w:val="00E037DA"/>
    <w:rsid w:val="00E042DD"/>
    <w:rsid w:val="00E04CEB"/>
    <w:rsid w:val="00E055D9"/>
    <w:rsid w:val="00E067AC"/>
    <w:rsid w:val="00E06C5B"/>
    <w:rsid w:val="00E07515"/>
    <w:rsid w:val="00E07801"/>
    <w:rsid w:val="00E07BF9"/>
    <w:rsid w:val="00E10B66"/>
    <w:rsid w:val="00E11116"/>
    <w:rsid w:val="00E11D35"/>
    <w:rsid w:val="00E2030C"/>
    <w:rsid w:val="00E336C9"/>
    <w:rsid w:val="00E43FE1"/>
    <w:rsid w:val="00E511C1"/>
    <w:rsid w:val="00E5315D"/>
    <w:rsid w:val="00E60E5E"/>
    <w:rsid w:val="00E60EE2"/>
    <w:rsid w:val="00E62FAA"/>
    <w:rsid w:val="00E63BCF"/>
    <w:rsid w:val="00E703CC"/>
    <w:rsid w:val="00E72BD5"/>
    <w:rsid w:val="00E8441E"/>
    <w:rsid w:val="00E86765"/>
    <w:rsid w:val="00E87896"/>
    <w:rsid w:val="00E90133"/>
    <w:rsid w:val="00E94D52"/>
    <w:rsid w:val="00EA2AB1"/>
    <w:rsid w:val="00EA3B32"/>
    <w:rsid w:val="00EA5F1E"/>
    <w:rsid w:val="00EB6393"/>
    <w:rsid w:val="00EB6630"/>
    <w:rsid w:val="00EC4BBC"/>
    <w:rsid w:val="00EC665D"/>
    <w:rsid w:val="00ED1633"/>
    <w:rsid w:val="00ED3A54"/>
    <w:rsid w:val="00EE50D0"/>
    <w:rsid w:val="00EF06E7"/>
    <w:rsid w:val="00EF428A"/>
    <w:rsid w:val="00EF489B"/>
    <w:rsid w:val="00EF7288"/>
    <w:rsid w:val="00F01C29"/>
    <w:rsid w:val="00F05AA7"/>
    <w:rsid w:val="00F06152"/>
    <w:rsid w:val="00F15A1A"/>
    <w:rsid w:val="00F20E2A"/>
    <w:rsid w:val="00F33956"/>
    <w:rsid w:val="00F347BD"/>
    <w:rsid w:val="00F35C0F"/>
    <w:rsid w:val="00F3724A"/>
    <w:rsid w:val="00F40B73"/>
    <w:rsid w:val="00F4155D"/>
    <w:rsid w:val="00F428AE"/>
    <w:rsid w:val="00F61B09"/>
    <w:rsid w:val="00F65BA6"/>
    <w:rsid w:val="00F66200"/>
    <w:rsid w:val="00F71684"/>
    <w:rsid w:val="00F7345E"/>
    <w:rsid w:val="00F838D0"/>
    <w:rsid w:val="00F83CB8"/>
    <w:rsid w:val="00F86799"/>
    <w:rsid w:val="00F94050"/>
    <w:rsid w:val="00FA42C0"/>
    <w:rsid w:val="00FB1FDE"/>
    <w:rsid w:val="00FB3AB7"/>
    <w:rsid w:val="00FB76B5"/>
    <w:rsid w:val="00FC4CBD"/>
    <w:rsid w:val="00FC6237"/>
    <w:rsid w:val="00FC6D25"/>
    <w:rsid w:val="00FC77B1"/>
    <w:rsid w:val="00FD0A0E"/>
    <w:rsid w:val="00FD631C"/>
    <w:rsid w:val="00FE34DD"/>
    <w:rsid w:val="00FE6208"/>
    <w:rsid w:val="00FE6574"/>
    <w:rsid w:val="00FF010B"/>
    <w:rsid w:val="00FF62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D5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D5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4840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534</Words>
  <Characters>3050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Ю. Романова</dc:creator>
  <cp:lastModifiedBy>E.silkovich</cp:lastModifiedBy>
  <cp:revision>80</cp:revision>
  <cp:lastPrinted>2021-10-15T09:45:00Z</cp:lastPrinted>
  <dcterms:created xsi:type="dcterms:W3CDTF">2021-04-05T12:22:00Z</dcterms:created>
  <dcterms:modified xsi:type="dcterms:W3CDTF">2021-10-18T10:38:00Z</dcterms:modified>
</cp:coreProperties>
</file>