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1E6E23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2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</w:p>
    <w:p w:rsidR="00344B19" w:rsidRPr="00DC24FF" w:rsidRDefault="00344B19" w:rsidP="0051009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Default="00257F71" w:rsidP="00257F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7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информацию </w:t>
      </w:r>
      <w:r w:rsidR="008364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r w:rsidRPr="00257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 Тольятти о ходе реализации Федерального закона от 13.03.2006 № 38-ФЗ «О рекламе»</w:t>
      </w:r>
      <w:r w:rsidR="00883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57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городского округа Тольятти</w:t>
      </w:r>
      <w:r w:rsidR="005D7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4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</w:t>
      </w:r>
      <w:r w:rsidR="00C31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2E4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344B19" w:rsidRPr="00DC24FF" w:rsidRDefault="00344B19" w:rsidP="00327E28">
      <w:pPr>
        <w:spacing w:before="60" w:after="16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 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1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2E4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C31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E6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C31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C31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57F71" w:rsidRDefault="00257F71" w:rsidP="00BD120E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F71">
        <w:rPr>
          <w:rFonts w:ascii="Times New Roman" w:hAnsi="Times New Roman" w:cs="Times New Roman"/>
          <w:sz w:val="28"/>
          <w:szCs w:val="28"/>
        </w:rPr>
        <w:t xml:space="preserve">Решением Думы городского округа Тольятти (далее – Дума) от </w:t>
      </w:r>
      <w:r w:rsidR="002E490C" w:rsidRPr="002E490C">
        <w:rPr>
          <w:rFonts w:ascii="Times New Roman" w:hAnsi="Times New Roman" w:cs="Times New Roman"/>
          <w:sz w:val="28"/>
          <w:szCs w:val="28"/>
        </w:rPr>
        <w:t>2</w:t>
      </w:r>
      <w:r w:rsidR="00094382">
        <w:rPr>
          <w:rFonts w:ascii="Times New Roman" w:hAnsi="Times New Roman" w:cs="Times New Roman"/>
          <w:sz w:val="28"/>
          <w:szCs w:val="28"/>
        </w:rPr>
        <w:t>3</w:t>
      </w:r>
      <w:r w:rsidR="002E490C" w:rsidRPr="002E490C">
        <w:rPr>
          <w:rFonts w:ascii="Times New Roman" w:hAnsi="Times New Roman" w:cs="Times New Roman"/>
          <w:sz w:val="28"/>
          <w:szCs w:val="28"/>
        </w:rPr>
        <w:t>.12.20</w:t>
      </w:r>
      <w:r w:rsidR="00094382">
        <w:rPr>
          <w:rFonts w:ascii="Times New Roman" w:hAnsi="Times New Roman" w:cs="Times New Roman"/>
          <w:sz w:val="28"/>
          <w:szCs w:val="28"/>
        </w:rPr>
        <w:t>20</w:t>
      </w:r>
      <w:r w:rsidR="002E490C" w:rsidRPr="002E490C">
        <w:rPr>
          <w:rFonts w:ascii="Times New Roman" w:hAnsi="Times New Roman" w:cs="Times New Roman"/>
          <w:sz w:val="28"/>
          <w:szCs w:val="28"/>
        </w:rPr>
        <w:t xml:space="preserve"> № </w:t>
      </w:r>
      <w:r w:rsidR="00094382">
        <w:rPr>
          <w:rFonts w:ascii="Times New Roman" w:hAnsi="Times New Roman" w:cs="Times New Roman"/>
          <w:sz w:val="28"/>
          <w:szCs w:val="28"/>
        </w:rPr>
        <w:t>799</w:t>
      </w:r>
      <w:r w:rsidRPr="00257F71">
        <w:rPr>
          <w:rFonts w:ascii="Times New Roman" w:hAnsi="Times New Roman" w:cs="Times New Roman"/>
          <w:sz w:val="28"/>
          <w:szCs w:val="28"/>
        </w:rPr>
        <w:t xml:space="preserve"> «О плане текущей деятельности Думы городского округа Тольятти на </w:t>
      </w:r>
      <w:r w:rsidR="005D7A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7F71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2E490C">
        <w:rPr>
          <w:rFonts w:ascii="Times New Roman" w:hAnsi="Times New Roman" w:cs="Times New Roman"/>
          <w:sz w:val="28"/>
          <w:szCs w:val="28"/>
        </w:rPr>
        <w:t>2</w:t>
      </w:r>
      <w:r w:rsidR="00094382">
        <w:rPr>
          <w:rFonts w:ascii="Times New Roman" w:hAnsi="Times New Roman" w:cs="Times New Roman"/>
          <w:sz w:val="28"/>
          <w:szCs w:val="28"/>
        </w:rPr>
        <w:t>1</w:t>
      </w:r>
      <w:r w:rsidRPr="00257F71">
        <w:rPr>
          <w:rFonts w:ascii="Times New Roman" w:hAnsi="Times New Roman" w:cs="Times New Roman"/>
          <w:sz w:val="28"/>
          <w:szCs w:val="28"/>
        </w:rPr>
        <w:t xml:space="preserve"> года» запланировано </w:t>
      </w:r>
      <w:r w:rsidR="00E17EEE">
        <w:rPr>
          <w:rFonts w:ascii="Times New Roman" w:hAnsi="Times New Roman" w:cs="Times New Roman"/>
          <w:sz w:val="28"/>
          <w:szCs w:val="28"/>
        </w:rPr>
        <w:t>1</w:t>
      </w:r>
      <w:r w:rsidR="00094382">
        <w:rPr>
          <w:rFonts w:ascii="Times New Roman" w:hAnsi="Times New Roman" w:cs="Times New Roman"/>
          <w:sz w:val="28"/>
          <w:szCs w:val="28"/>
        </w:rPr>
        <w:t>7</w:t>
      </w:r>
      <w:r w:rsidR="00E17EEE">
        <w:rPr>
          <w:rFonts w:ascii="Times New Roman" w:hAnsi="Times New Roman" w:cs="Times New Roman"/>
          <w:sz w:val="28"/>
          <w:szCs w:val="28"/>
        </w:rPr>
        <w:t>.</w:t>
      </w:r>
      <w:r w:rsidR="002E490C">
        <w:rPr>
          <w:rFonts w:ascii="Times New Roman" w:hAnsi="Times New Roman" w:cs="Times New Roman"/>
          <w:sz w:val="28"/>
          <w:szCs w:val="28"/>
        </w:rPr>
        <w:t>02</w:t>
      </w:r>
      <w:r w:rsidR="00E17EEE">
        <w:rPr>
          <w:rFonts w:ascii="Times New Roman" w:hAnsi="Times New Roman" w:cs="Times New Roman"/>
          <w:sz w:val="28"/>
          <w:szCs w:val="28"/>
        </w:rPr>
        <w:t>.20</w:t>
      </w:r>
      <w:r w:rsidR="002E490C">
        <w:rPr>
          <w:rFonts w:ascii="Times New Roman" w:hAnsi="Times New Roman" w:cs="Times New Roman"/>
          <w:sz w:val="28"/>
          <w:szCs w:val="28"/>
        </w:rPr>
        <w:t>2</w:t>
      </w:r>
      <w:r w:rsidR="00094382">
        <w:rPr>
          <w:rFonts w:ascii="Times New Roman" w:hAnsi="Times New Roman" w:cs="Times New Roman"/>
          <w:sz w:val="28"/>
          <w:szCs w:val="28"/>
        </w:rPr>
        <w:t>1</w:t>
      </w:r>
      <w:r w:rsidR="00E17EEE">
        <w:rPr>
          <w:rFonts w:ascii="Times New Roman" w:hAnsi="Times New Roman" w:cs="Times New Roman"/>
          <w:sz w:val="28"/>
          <w:szCs w:val="28"/>
        </w:rPr>
        <w:t xml:space="preserve"> </w:t>
      </w:r>
      <w:r w:rsidRPr="00257F71">
        <w:rPr>
          <w:rFonts w:ascii="Times New Roman" w:hAnsi="Times New Roman" w:cs="Times New Roman"/>
          <w:sz w:val="28"/>
          <w:szCs w:val="28"/>
        </w:rPr>
        <w:t xml:space="preserve">рассмотрение вопроса «Об информации </w:t>
      </w:r>
      <w:r w:rsidR="005D7A45">
        <w:rPr>
          <w:rFonts w:ascii="Times New Roman" w:hAnsi="Times New Roman" w:cs="Times New Roman"/>
          <w:sz w:val="28"/>
          <w:szCs w:val="28"/>
        </w:rPr>
        <w:t>администрации</w:t>
      </w:r>
      <w:r w:rsidRPr="00257F71">
        <w:rPr>
          <w:rFonts w:ascii="Times New Roman" w:hAnsi="Times New Roman" w:cs="Times New Roman"/>
          <w:sz w:val="28"/>
          <w:szCs w:val="28"/>
        </w:rPr>
        <w:t xml:space="preserve"> о ходе реализации Федерального закона от 13.03.2006 № 38-ФЗ «О рекламе» на территории городского округа Тольятти</w:t>
      </w:r>
      <w:r w:rsidR="00094382">
        <w:rPr>
          <w:rFonts w:ascii="Times New Roman" w:hAnsi="Times New Roman" w:cs="Times New Roman"/>
          <w:sz w:val="28"/>
          <w:szCs w:val="28"/>
        </w:rPr>
        <w:t xml:space="preserve"> в 2020 году</w:t>
      </w:r>
      <w:r w:rsidR="002E490C">
        <w:rPr>
          <w:rFonts w:ascii="Times New Roman" w:hAnsi="Times New Roman" w:cs="Times New Roman"/>
          <w:sz w:val="28"/>
          <w:szCs w:val="28"/>
        </w:rPr>
        <w:t>»</w:t>
      </w:r>
      <w:r w:rsidRPr="00257F71">
        <w:rPr>
          <w:rFonts w:ascii="Times New Roman" w:hAnsi="Times New Roman" w:cs="Times New Roman"/>
          <w:sz w:val="28"/>
          <w:szCs w:val="28"/>
        </w:rPr>
        <w:t>.</w:t>
      </w:r>
      <w:r w:rsidR="00A553D4">
        <w:rPr>
          <w:rFonts w:ascii="Times New Roman" w:hAnsi="Times New Roman" w:cs="Times New Roman"/>
          <w:sz w:val="28"/>
          <w:szCs w:val="28"/>
        </w:rPr>
        <w:t xml:space="preserve"> </w:t>
      </w:r>
      <w:r w:rsidR="008364AD">
        <w:rPr>
          <w:rFonts w:ascii="Times New Roman" w:hAnsi="Times New Roman" w:cs="Times New Roman"/>
          <w:sz w:val="28"/>
          <w:szCs w:val="28"/>
        </w:rPr>
        <w:t>Администрацией</w:t>
      </w:r>
      <w:r w:rsidRPr="00257F71">
        <w:rPr>
          <w:rFonts w:ascii="Times New Roman" w:hAnsi="Times New Roman" w:cs="Times New Roman"/>
          <w:sz w:val="28"/>
          <w:szCs w:val="28"/>
        </w:rPr>
        <w:t xml:space="preserve"> городского округа Тольятти (далее – </w:t>
      </w:r>
      <w:r w:rsidR="008364AD">
        <w:rPr>
          <w:rFonts w:ascii="Times New Roman" w:hAnsi="Times New Roman" w:cs="Times New Roman"/>
          <w:sz w:val="28"/>
          <w:szCs w:val="28"/>
        </w:rPr>
        <w:t>администрация</w:t>
      </w:r>
      <w:r w:rsidRPr="00257F71">
        <w:rPr>
          <w:rFonts w:ascii="Times New Roman" w:hAnsi="Times New Roman" w:cs="Times New Roman"/>
          <w:sz w:val="28"/>
          <w:szCs w:val="28"/>
        </w:rPr>
        <w:t>) направлена в Думу информация по данному вопросу</w:t>
      </w:r>
      <w:r w:rsidR="005D7A45">
        <w:rPr>
          <w:rFonts w:ascii="Times New Roman" w:hAnsi="Times New Roman" w:cs="Times New Roman"/>
          <w:sz w:val="28"/>
          <w:szCs w:val="28"/>
        </w:rPr>
        <w:t xml:space="preserve"> </w:t>
      </w:r>
      <w:r w:rsidR="00094382">
        <w:rPr>
          <w:rFonts w:ascii="Times New Roman" w:hAnsi="Times New Roman" w:cs="Times New Roman"/>
          <w:sz w:val="28"/>
          <w:szCs w:val="28"/>
        </w:rPr>
        <w:t>05</w:t>
      </w:r>
      <w:r w:rsidR="005D7A45">
        <w:rPr>
          <w:rFonts w:ascii="Times New Roman" w:hAnsi="Times New Roman" w:cs="Times New Roman"/>
          <w:sz w:val="28"/>
          <w:szCs w:val="28"/>
        </w:rPr>
        <w:t>.</w:t>
      </w:r>
      <w:r w:rsidR="002E490C">
        <w:rPr>
          <w:rFonts w:ascii="Times New Roman" w:hAnsi="Times New Roman" w:cs="Times New Roman"/>
          <w:sz w:val="28"/>
          <w:szCs w:val="28"/>
        </w:rPr>
        <w:t>0</w:t>
      </w:r>
      <w:r w:rsidR="00094382">
        <w:rPr>
          <w:rFonts w:ascii="Times New Roman" w:hAnsi="Times New Roman" w:cs="Times New Roman"/>
          <w:sz w:val="28"/>
          <w:szCs w:val="28"/>
        </w:rPr>
        <w:t>2</w:t>
      </w:r>
      <w:r w:rsidR="005D7A45">
        <w:rPr>
          <w:rFonts w:ascii="Times New Roman" w:hAnsi="Times New Roman" w:cs="Times New Roman"/>
          <w:sz w:val="28"/>
          <w:szCs w:val="28"/>
        </w:rPr>
        <w:t>.20</w:t>
      </w:r>
      <w:r w:rsidR="002E490C">
        <w:rPr>
          <w:rFonts w:ascii="Times New Roman" w:hAnsi="Times New Roman" w:cs="Times New Roman"/>
          <w:sz w:val="28"/>
          <w:szCs w:val="28"/>
        </w:rPr>
        <w:t>2</w:t>
      </w:r>
      <w:r w:rsidR="00094382">
        <w:rPr>
          <w:rFonts w:ascii="Times New Roman" w:hAnsi="Times New Roman" w:cs="Times New Roman"/>
          <w:sz w:val="28"/>
          <w:szCs w:val="28"/>
        </w:rPr>
        <w:t>1</w:t>
      </w:r>
      <w:r w:rsidR="00A553D4">
        <w:rPr>
          <w:rFonts w:ascii="Times New Roman" w:hAnsi="Times New Roman" w:cs="Times New Roman"/>
          <w:sz w:val="28"/>
          <w:szCs w:val="28"/>
        </w:rPr>
        <w:t>.</w:t>
      </w:r>
    </w:p>
    <w:p w:rsidR="0079164E" w:rsidRDefault="0079164E" w:rsidP="00BD120E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64E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553D4">
        <w:rPr>
          <w:rFonts w:ascii="Times New Roman" w:hAnsi="Times New Roman" w:cs="Times New Roman"/>
          <w:sz w:val="28"/>
          <w:szCs w:val="28"/>
        </w:rPr>
        <w:t xml:space="preserve">информацию, представленную </w:t>
      </w:r>
      <w:r w:rsidR="008364AD">
        <w:rPr>
          <w:rFonts w:ascii="Times New Roman" w:hAnsi="Times New Roman" w:cs="Times New Roman"/>
          <w:sz w:val="28"/>
          <w:szCs w:val="28"/>
        </w:rPr>
        <w:t>администрацией</w:t>
      </w:r>
      <w:r w:rsidRPr="0079164E">
        <w:rPr>
          <w:rFonts w:ascii="Times New Roman" w:hAnsi="Times New Roman" w:cs="Times New Roman"/>
          <w:sz w:val="28"/>
          <w:szCs w:val="28"/>
        </w:rPr>
        <w:t>,</w:t>
      </w:r>
      <w:r w:rsidR="00A553D4">
        <w:rPr>
          <w:rFonts w:ascii="Times New Roman" w:hAnsi="Times New Roman" w:cs="Times New Roman"/>
          <w:sz w:val="28"/>
          <w:szCs w:val="28"/>
        </w:rPr>
        <w:t xml:space="preserve"> </w:t>
      </w:r>
      <w:r w:rsidRPr="0079164E">
        <w:rPr>
          <w:rFonts w:ascii="Times New Roman" w:hAnsi="Times New Roman" w:cs="Times New Roman"/>
          <w:sz w:val="28"/>
          <w:szCs w:val="28"/>
        </w:rPr>
        <w:t>отме</w:t>
      </w:r>
      <w:r w:rsidR="00242502">
        <w:rPr>
          <w:rFonts w:ascii="Times New Roman" w:hAnsi="Times New Roman" w:cs="Times New Roman"/>
          <w:sz w:val="28"/>
          <w:szCs w:val="28"/>
        </w:rPr>
        <w:t>чае</w:t>
      </w:r>
      <w:r w:rsidR="00516DD1">
        <w:rPr>
          <w:rFonts w:ascii="Times New Roman" w:hAnsi="Times New Roman" w:cs="Times New Roman"/>
          <w:sz w:val="28"/>
          <w:szCs w:val="28"/>
        </w:rPr>
        <w:t>м</w:t>
      </w:r>
      <w:r w:rsidRPr="0079164E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A553D4" w:rsidRDefault="008B207D" w:rsidP="00BD120E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E55B19">
        <w:rPr>
          <w:rFonts w:ascii="Times New Roman" w:hAnsi="Times New Roman" w:cs="Times New Roman"/>
          <w:sz w:val="28"/>
          <w:szCs w:val="28"/>
        </w:rPr>
        <w:t xml:space="preserve">Информация о поступлении в бюджет городского округа Тольятти денежных средств </w:t>
      </w:r>
      <w:r w:rsidR="002E490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E55B19" w:rsidRPr="00D0265A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09438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E55B19" w:rsidRPr="00D0265A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2E490C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E55B19">
        <w:rPr>
          <w:rFonts w:ascii="Times New Roman" w:hAnsi="Times New Roman" w:cs="Times New Roman"/>
          <w:sz w:val="28"/>
          <w:szCs w:val="28"/>
        </w:rPr>
        <w:t xml:space="preserve"> за размещение рекламных конструкций, </w:t>
      </w:r>
      <w:r w:rsidR="00E55B19" w:rsidRPr="008858EB">
        <w:rPr>
          <w:rFonts w:ascii="Times New Roman" w:hAnsi="Times New Roman" w:cs="Times New Roman"/>
          <w:sz w:val="27"/>
          <w:szCs w:val="27"/>
        </w:rPr>
        <w:t>находящихся на территории городского округа Тольятти, отражена в таблице</w:t>
      </w:r>
      <w:r w:rsidR="00E55B19">
        <w:rPr>
          <w:rFonts w:ascii="Times New Roman" w:hAnsi="Times New Roman" w:cs="Times New Roman"/>
          <w:sz w:val="28"/>
          <w:szCs w:val="28"/>
        </w:rPr>
        <w:t xml:space="preserve"> 1</w:t>
      </w:r>
      <w:r w:rsidR="008858EB">
        <w:rPr>
          <w:rFonts w:ascii="Times New Roman" w:hAnsi="Times New Roman" w:cs="Times New Roman"/>
          <w:sz w:val="28"/>
          <w:szCs w:val="28"/>
        </w:rPr>
        <w:t>.</w:t>
      </w:r>
    </w:p>
    <w:p w:rsidR="00E55B19" w:rsidRDefault="00925CA9" w:rsidP="00925CA9">
      <w:pPr>
        <w:tabs>
          <w:tab w:val="right" w:pos="9354"/>
        </w:tabs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</w:t>
      </w:r>
      <w:r w:rsidRPr="00BD120E">
        <w:rPr>
          <w:rFonts w:ascii="Times New Roman" w:hAnsi="Times New Roman" w:cs="Times New Roman"/>
          <w:sz w:val="28"/>
          <w:szCs w:val="28"/>
        </w:rPr>
        <w:t>уммы указаны в тыс. руб.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="008858EB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3"/>
        <w:tblW w:w="93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4"/>
        <w:gridCol w:w="787"/>
        <w:gridCol w:w="837"/>
        <w:gridCol w:w="812"/>
        <w:gridCol w:w="746"/>
      </w:tblGrid>
      <w:tr w:rsidR="00723EA9" w:rsidRPr="00511EF0" w:rsidTr="00925CA9">
        <w:trPr>
          <w:cantSplit/>
          <w:tblHeader/>
        </w:trPr>
        <w:tc>
          <w:tcPr>
            <w:tcW w:w="617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FFF99"/>
          </w:tcPr>
          <w:p w:rsidR="00723EA9" w:rsidRPr="00511EF0" w:rsidRDefault="00723EA9" w:rsidP="007F4401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код бюджетной классификации</w:t>
            </w:r>
          </w:p>
        </w:tc>
        <w:tc>
          <w:tcPr>
            <w:tcW w:w="162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99"/>
          </w:tcPr>
          <w:p w:rsidR="00723EA9" w:rsidRPr="00511EF0" w:rsidRDefault="00723EA9" w:rsidP="00511EF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99"/>
          </w:tcPr>
          <w:p w:rsidR="00723EA9" w:rsidRPr="00511EF0" w:rsidRDefault="00723EA9" w:rsidP="00511EF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723EA9" w:rsidRPr="00511EF0" w:rsidTr="00925CA9">
        <w:trPr>
          <w:cantSplit/>
          <w:tblHeader/>
        </w:trPr>
        <w:tc>
          <w:tcPr>
            <w:tcW w:w="6174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FFFF99"/>
          </w:tcPr>
          <w:p w:rsidR="00723EA9" w:rsidRPr="00511EF0" w:rsidRDefault="00723EA9" w:rsidP="00511EF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99"/>
          </w:tcPr>
          <w:p w:rsidR="00723EA9" w:rsidRPr="00511EF0" w:rsidRDefault="00723EA9" w:rsidP="007F4401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99"/>
          </w:tcPr>
          <w:p w:rsidR="00723EA9" w:rsidRPr="00511EF0" w:rsidRDefault="00723EA9" w:rsidP="007F4401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99"/>
          </w:tcPr>
          <w:p w:rsidR="00723EA9" w:rsidRPr="00511EF0" w:rsidRDefault="00723EA9" w:rsidP="00511EF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тыс.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4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99"/>
          </w:tcPr>
          <w:p w:rsidR="00723EA9" w:rsidRPr="00511EF0" w:rsidRDefault="00723EA9" w:rsidP="00511EF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</w:tc>
      </w:tr>
      <w:tr w:rsidR="00511EF0" w:rsidRPr="00511EF0" w:rsidTr="00925CA9">
        <w:trPr>
          <w:cantSplit/>
        </w:trPr>
        <w:tc>
          <w:tcPr>
            <w:tcW w:w="6174" w:type="dxa"/>
            <w:tcBorders>
              <w:top w:val="double" w:sz="4" w:space="0" w:color="auto"/>
            </w:tcBorders>
          </w:tcPr>
          <w:p w:rsidR="00511EF0" w:rsidRPr="00BD120E" w:rsidRDefault="00511EF0" w:rsidP="00511EF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20E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 (905 1 08 07150 01 1000 110)</w:t>
            </w: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511EF0" w:rsidRPr="00511EF0" w:rsidRDefault="00094382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2E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37" w:type="dxa"/>
            <w:tcBorders>
              <w:top w:val="double" w:sz="4" w:space="0" w:color="auto"/>
            </w:tcBorders>
          </w:tcPr>
          <w:p w:rsidR="00511EF0" w:rsidRPr="00511EF0" w:rsidRDefault="00094382" w:rsidP="008364A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1 640</w:t>
            </w:r>
          </w:p>
        </w:tc>
        <w:tc>
          <w:tcPr>
            <w:tcW w:w="812" w:type="dxa"/>
            <w:tcBorders>
              <w:top w:val="double" w:sz="4" w:space="0" w:color="auto"/>
            </w:tcBorders>
          </w:tcPr>
          <w:p w:rsidR="00511EF0" w:rsidRPr="00511EF0" w:rsidRDefault="00EA5F57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4382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746" w:type="dxa"/>
            <w:tcBorders>
              <w:top w:val="double" w:sz="4" w:space="0" w:color="auto"/>
            </w:tcBorders>
          </w:tcPr>
          <w:p w:rsidR="00511EF0" w:rsidRPr="00511EF0" w:rsidRDefault="00EA5F57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43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50B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3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511EF0" w:rsidRPr="00511EF0" w:rsidTr="00925CA9">
        <w:trPr>
          <w:cantSplit/>
        </w:trPr>
        <w:tc>
          <w:tcPr>
            <w:tcW w:w="6174" w:type="dxa"/>
          </w:tcPr>
          <w:p w:rsidR="00511EF0" w:rsidRPr="00BD120E" w:rsidRDefault="00511EF0" w:rsidP="007F4401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20E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</w:t>
            </w:r>
            <w:r w:rsidR="007F4401" w:rsidRPr="00BD120E">
              <w:rPr>
                <w:rFonts w:ascii="Times New Roman" w:hAnsi="Times New Roman" w:cs="Times New Roman"/>
                <w:sz w:val="24"/>
                <w:szCs w:val="24"/>
              </w:rPr>
              <w:t>бюджетов городских округов (доходы за право заключения договора на установку и эксплуатацию рекламных конструкций, расположенных на земельных участках, государственная собственность на которые не разграничена) (905 1 17 05040 04 0001 180)</w:t>
            </w:r>
          </w:p>
        </w:tc>
        <w:tc>
          <w:tcPr>
            <w:tcW w:w="787" w:type="dxa"/>
          </w:tcPr>
          <w:p w:rsidR="00511EF0" w:rsidRPr="00450BB8" w:rsidRDefault="00094382" w:rsidP="008364A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2 987</w:t>
            </w:r>
          </w:p>
        </w:tc>
        <w:tc>
          <w:tcPr>
            <w:tcW w:w="837" w:type="dxa"/>
          </w:tcPr>
          <w:p w:rsidR="00511EF0" w:rsidRPr="00302EA0" w:rsidRDefault="00094382" w:rsidP="008364A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2 987</w:t>
            </w:r>
          </w:p>
        </w:tc>
        <w:tc>
          <w:tcPr>
            <w:tcW w:w="812" w:type="dxa"/>
          </w:tcPr>
          <w:p w:rsidR="00511EF0" w:rsidRPr="008364AD" w:rsidRDefault="00094382" w:rsidP="00302EA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:rsidR="00511EF0" w:rsidRPr="008364AD" w:rsidRDefault="00094382" w:rsidP="00EA5F57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1EF0" w:rsidRPr="00511EF0" w:rsidTr="00925CA9">
        <w:trPr>
          <w:cantSplit/>
        </w:trPr>
        <w:tc>
          <w:tcPr>
            <w:tcW w:w="6174" w:type="dxa"/>
            <w:tcBorders>
              <w:bottom w:val="double" w:sz="4" w:space="0" w:color="auto"/>
            </w:tcBorders>
          </w:tcPr>
          <w:p w:rsidR="00511EF0" w:rsidRPr="00BD120E" w:rsidRDefault="007F4401" w:rsidP="007F4401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20E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(доходы </w:t>
            </w:r>
            <w:r w:rsidR="00D0265A" w:rsidRPr="00BD120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D120E">
              <w:rPr>
                <w:rFonts w:ascii="Times New Roman" w:hAnsi="Times New Roman" w:cs="Times New Roman"/>
                <w:sz w:val="24"/>
                <w:szCs w:val="24"/>
              </w:rPr>
              <w:t>договорам на установку и эксплуатацию рекламных конструкций, расположенных на земельных участках, государственная собственность на которые не разграничена) (905 1 17 05040 04 0002 180 и 705 1 17 05040 04 0002 180)</w:t>
            </w:r>
          </w:p>
        </w:tc>
        <w:tc>
          <w:tcPr>
            <w:tcW w:w="787" w:type="dxa"/>
          </w:tcPr>
          <w:p w:rsidR="00511EF0" w:rsidRPr="00D0265A" w:rsidRDefault="00094382" w:rsidP="0051009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35 555</w:t>
            </w:r>
          </w:p>
        </w:tc>
        <w:tc>
          <w:tcPr>
            <w:tcW w:w="837" w:type="dxa"/>
          </w:tcPr>
          <w:p w:rsidR="00511EF0" w:rsidRPr="00D0265A" w:rsidRDefault="00094382" w:rsidP="00510090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34 740</w:t>
            </w:r>
          </w:p>
        </w:tc>
        <w:tc>
          <w:tcPr>
            <w:tcW w:w="812" w:type="dxa"/>
          </w:tcPr>
          <w:p w:rsidR="00511EF0" w:rsidRPr="00450BB8" w:rsidRDefault="00302EA0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4382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746" w:type="dxa"/>
          </w:tcPr>
          <w:p w:rsidR="00511EF0" w:rsidRPr="00450BB8" w:rsidRDefault="00450BB8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4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38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11EF0" w:rsidRPr="00511EF0" w:rsidTr="00925CA9">
        <w:trPr>
          <w:cantSplit/>
        </w:trPr>
        <w:tc>
          <w:tcPr>
            <w:tcW w:w="6174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511EF0" w:rsidRPr="00BD120E" w:rsidRDefault="0016230B" w:rsidP="00723E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8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0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shd w:val="clear" w:color="auto" w:fill="FFFF99"/>
          </w:tcPr>
          <w:p w:rsidR="00511EF0" w:rsidRPr="00450BB8" w:rsidRDefault="00094382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450B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647</w:t>
            </w:r>
          </w:p>
        </w:tc>
        <w:tc>
          <w:tcPr>
            <w:tcW w:w="837" w:type="dxa"/>
            <w:shd w:val="clear" w:color="auto" w:fill="FFFF99"/>
          </w:tcPr>
          <w:p w:rsidR="00511EF0" w:rsidRPr="00450BB8" w:rsidRDefault="00094382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450B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367</w:t>
            </w:r>
          </w:p>
        </w:tc>
        <w:tc>
          <w:tcPr>
            <w:tcW w:w="812" w:type="dxa"/>
            <w:shd w:val="clear" w:color="auto" w:fill="FFFF99"/>
          </w:tcPr>
          <w:p w:rsidR="00511EF0" w:rsidRPr="00450BB8" w:rsidRDefault="00094382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450B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</w:t>
            </w:r>
          </w:p>
        </w:tc>
        <w:tc>
          <w:tcPr>
            <w:tcW w:w="746" w:type="dxa"/>
            <w:shd w:val="clear" w:color="auto" w:fill="FFFF99"/>
          </w:tcPr>
          <w:p w:rsidR="00511EF0" w:rsidRPr="00450BB8" w:rsidRDefault="00094382" w:rsidP="00094382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20" w:after="20"/>
              <w:ind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="00450BB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E55B19" w:rsidRDefault="00723EA9" w:rsidP="00E73AA4">
      <w:pPr>
        <w:tabs>
          <w:tab w:val="left" w:pos="993"/>
        </w:tabs>
        <w:autoSpaceDE w:val="0"/>
        <w:autoSpaceDN w:val="0"/>
        <w:adjustRightInd w:val="0"/>
        <w:spacing w:before="80"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1C1769" w:rsidRPr="001C1769">
        <w:rPr>
          <w:rFonts w:ascii="Times New Roman" w:hAnsi="Times New Roman" w:cs="Times New Roman"/>
          <w:sz w:val="28"/>
          <w:szCs w:val="28"/>
        </w:rPr>
        <w:t xml:space="preserve">поступления в бюджет городского округа Тольятти от размещения наружной рекламы на территории городского округа Тольятти </w:t>
      </w:r>
      <w:r w:rsidR="00BD120E">
        <w:rPr>
          <w:rFonts w:ascii="Times New Roman" w:hAnsi="Times New Roman" w:cs="Times New Roman"/>
          <w:sz w:val="28"/>
          <w:szCs w:val="28"/>
        </w:rPr>
        <w:t>за</w:t>
      </w:r>
      <w:r w:rsidR="00D0265A" w:rsidRPr="00D0265A">
        <w:rPr>
          <w:rFonts w:ascii="Times New Roman" w:hAnsi="Times New Roman" w:cs="Times New Roman"/>
          <w:sz w:val="28"/>
          <w:szCs w:val="28"/>
        </w:rPr>
        <w:t xml:space="preserve"> </w:t>
      </w:r>
      <w:r w:rsidR="001C1769" w:rsidRPr="001C1769">
        <w:rPr>
          <w:rFonts w:ascii="Times New Roman" w:hAnsi="Times New Roman" w:cs="Times New Roman"/>
          <w:sz w:val="28"/>
          <w:szCs w:val="28"/>
        </w:rPr>
        <w:t>20</w:t>
      </w:r>
      <w:r w:rsidR="00094382">
        <w:rPr>
          <w:rFonts w:ascii="Times New Roman" w:hAnsi="Times New Roman" w:cs="Times New Roman"/>
          <w:sz w:val="28"/>
          <w:szCs w:val="28"/>
        </w:rPr>
        <w:t>20</w:t>
      </w:r>
      <w:r w:rsidR="001C1769" w:rsidRPr="001C1769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094382" w:rsidRPr="00094382">
        <w:rPr>
          <w:rFonts w:ascii="Times New Roman" w:hAnsi="Times New Roman" w:cs="Times New Roman"/>
          <w:b/>
          <w:sz w:val="28"/>
          <w:szCs w:val="28"/>
        </w:rPr>
        <w:t>39 367</w:t>
      </w:r>
      <w:r w:rsidR="00D0265A">
        <w:rPr>
          <w:rFonts w:ascii="Times New Roman" w:hAnsi="Times New Roman" w:cs="Times New Roman"/>
          <w:sz w:val="28"/>
          <w:szCs w:val="28"/>
        </w:rPr>
        <w:t xml:space="preserve"> тыс.</w:t>
      </w:r>
      <w:r w:rsidR="00BD120E">
        <w:rPr>
          <w:rFonts w:ascii="Times New Roman" w:hAnsi="Times New Roman" w:cs="Times New Roman"/>
          <w:sz w:val="28"/>
          <w:szCs w:val="28"/>
        </w:rPr>
        <w:t xml:space="preserve"> </w:t>
      </w:r>
      <w:r w:rsidR="00D0265A">
        <w:rPr>
          <w:rFonts w:ascii="Times New Roman" w:hAnsi="Times New Roman" w:cs="Times New Roman"/>
          <w:sz w:val="28"/>
          <w:szCs w:val="28"/>
        </w:rPr>
        <w:t>руб</w:t>
      </w:r>
      <w:r w:rsidR="00BD120E">
        <w:rPr>
          <w:rFonts w:ascii="Times New Roman" w:hAnsi="Times New Roman" w:cs="Times New Roman"/>
          <w:sz w:val="28"/>
          <w:szCs w:val="28"/>
        </w:rPr>
        <w:t>лей</w:t>
      </w:r>
      <w:r w:rsidR="00D0265A">
        <w:rPr>
          <w:rFonts w:ascii="Times New Roman" w:hAnsi="Times New Roman" w:cs="Times New Roman"/>
          <w:sz w:val="28"/>
          <w:szCs w:val="28"/>
        </w:rPr>
        <w:t xml:space="preserve"> при плановом значении </w:t>
      </w:r>
      <w:r w:rsidR="00094382" w:rsidRPr="00094382">
        <w:rPr>
          <w:rFonts w:ascii="Times New Roman" w:hAnsi="Times New Roman" w:cs="Times New Roman"/>
          <w:b/>
          <w:sz w:val="28"/>
          <w:szCs w:val="28"/>
        </w:rPr>
        <w:t>40 647</w:t>
      </w:r>
      <w:r w:rsidR="001C1769" w:rsidRPr="001C1769">
        <w:rPr>
          <w:rFonts w:ascii="Times New Roman" w:hAnsi="Times New Roman" w:cs="Times New Roman"/>
          <w:sz w:val="28"/>
          <w:szCs w:val="28"/>
        </w:rPr>
        <w:t xml:space="preserve"> тыс.</w:t>
      </w:r>
      <w:r w:rsidR="00BD120E">
        <w:rPr>
          <w:rFonts w:ascii="Times New Roman" w:hAnsi="Times New Roman" w:cs="Times New Roman"/>
          <w:sz w:val="28"/>
          <w:szCs w:val="28"/>
        </w:rPr>
        <w:t xml:space="preserve"> </w:t>
      </w:r>
      <w:r w:rsidR="001C1769" w:rsidRPr="001C1769">
        <w:rPr>
          <w:rFonts w:ascii="Times New Roman" w:hAnsi="Times New Roman" w:cs="Times New Roman"/>
          <w:sz w:val="28"/>
          <w:szCs w:val="28"/>
        </w:rPr>
        <w:t>руб</w:t>
      </w:r>
      <w:r w:rsidR="00BD120E">
        <w:rPr>
          <w:rFonts w:ascii="Times New Roman" w:hAnsi="Times New Roman" w:cs="Times New Roman"/>
          <w:sz w:val="28"/>
          <w:szCs w:val="28"/>
        </w:rPr>
        <w:t>лей</w:t>
      </w:r>
      <w:r w:rsidR="001C1769" w:rsidRPr="001C1769">
        <w:rPr>
          <w:rFonts w:ascii="Times New Roman" w:hAnsi="Times New Roman" w:cs="Times New Roman"/>
          <w:sz w:val="28"/>
          <w:szCs w:val="28"/>
        </w:rPr>
        <w:t xml:space="preserve">, или </w:t>
      </w:r>
      <w:r w:rsidR="00094382">
        <w:rPr>
          <w:rFonts w:ascii="Times New Roman" w:hAnsi="Times New Roman" w:cs="Times New Roman"/>
          <w:b/>
          <w:sz w:val="28"/>
          <w:szCs w:val="28"/>
        </w:rPr>
        <w:t>96</w:t>
      </w:r>
      <w:r w:rsidR="00450BB8">
        <w:rPr>
          <w:rFonts w:ascii="Times New Roman" w:hAnsi="Times New Roman" w:cs="Times New Roman"/>
          <w:b/>
          <w:sz w:val="28"/>
          <w:szCs w:val="28"/>
        </w:rPr>
        <w:t>,</w:t>
      </w:r>
      <w:r w:rsidR="00094382">
        <w:rPr>
          <w:rFonts w:ascii="Times New Roman" w:hAnsi="Times New Roman" w:cs="Times New Roman"/>
          <w:b/>
          <w:sz w:val="28"/>
          <w:szCs w:val="28"/>
        </w:rPr>
        <w:t>85</w:t>
      </w:r>
      <w:r w:rsidR="001C1769">
        <w:rPr>
          <w:rFonts w:ascii="Times New Roman" w:hAnsi="Times New Roman" w:cs="Times New Roman"/>
          <w:sz w:val="28"/>
          <w:szCs w:val="28"/>
        </w:rPr>
        <w:t>%</w:t>
      </w:r>
      <w:r w:rsidR="00D0265A">
        <w:rPr>
          <w:rFonts w:ascii="Times New Roman" w:hAnsi="Times New Roman" w:cs="Times New Roman"/>
          <w:sz w:val="28"/>
          <w:szCs w:val="28"/>
        </w:rPr>
        <w:t xml:space="preserve"> от планов</w:t>
      </w:r>
      <w:r w:rsidR="00450BB8">
        <w:rPr>
          <w:rFonts w:ascii="Times New Roman" w:hAnsi="Times New Roman" w:cs="Times New Roman"/>
          <w:sz w:val="28"/>
          <w:szCs w:val="28"/>
        </w:rPr>
        <w:t>ого</w:t>
      </w:r>
      <w:r w:rsidR="00D0265A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450BB8">
        <w:rPr>
          <w:rFonts w:ascii="Times New Roman" w:hAnsi="Times New Roman" w:cs="Times New Roman"/>
          <w:sz w:val="28"/>
          <w:szCs w:val="28"/>
        </w:rPr>
        <w:t>я</w:t>
      </w:r>
      <w:r w:rsidR="00302EA0">
        <w:rPr>
          <w:rFonts w:ascii="Times New Roman" w:hAnsi="Times New Roman" w:cs="Times New Roman"/>
          <w:sz w:val="28"/>
          <w:szCs w:val="28"/>
        </w:rPr>
        <w:t xml:space="preserve"> 2</w:t>
      </w:r>
      <w:r w:rsidR="00D0265A">
        <w:rPr>
          <w:rFonts w:ascii="Times New Roman" w:hAnsi="Times New Roman" w:cs="Times New Roman"/>
          <w:sz w:val="28"/>
          <w:szCs w:val="28"/>
        </w:rPr>
        <w:t>0</w:t>
      </w:r>
      <w:r w:rsidR="00094382">
        <w:rPr>
          <w:rFonts w:ascii="Times New Roman" w:hAnsi="Times New Roman" w:cs="Times New Roman"/>
          <w:sz w:val="28"/>
          <w:szCs w:val="28"/>
        </w:rPr>
        <w:t>20</w:t>
      </w:r>
      <w:r w:rsidR="00D0265A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1769">
        <w:rPr>
          <w:rFonts w:ascii="Times New Roman" w:hAnsi="Times New Roman" w:cs="Times New Roman"/>
          <w:sz w:val="28"/>
          <w:szCs w:val="28"/>
        </w:rPr>
        <w:t>.</w:t>
      </w:r>
      <w:r w:rsidR="007532A3">
        <w:rPr>
          <w:rFonts w:ascii="Times New Roman" w:hAnsi="Times New Roman" w:cs="Times New Roman"/>
          <w:sz w:val="28"/>
          <w:szCs w:val="28"/>
        </w:rPr>
        <w:t xml:space="preserve"> Для сравнения </w:t>
      </w:r>
      <w:r w:rsidR="007532A3">
        <w:rPr>
          <w:rFonts w:ascii="Times New Roman" w:hAnsi="Times New Roman" w:cs="Times New Roman"/>
          <w:sz w:val="28"/>
          <w:szCs w:val="28"/>
        </w:rPr>
        <w:lastRenderedPageBreak/>
        <w:t xml:space="preserve">аналогичные показатели 2019 года: план: </w:t>
      </w:r>
      <w:r w:rsidR="007532A3" w:rsidRPr="007532A3">
        <w:rPr>
          <w:rFonts w:ascii="Times New Roman" w:hAnsi="Times New Roman" w:cs="Times New Roman"/>
          <w:b/>
          <w:sz w:val="28"/>
          <w:szCs w:val="28"/>
        </w:rPr>
        <w:t>68 569</w:t>
      </w:r>
      <w:r w:rsidR="007532A3">
        <w:rPr>
          <w:rFonts w:ascii="Times New Roman" w:hAnsi="Times New Roman" w:cs="Times New Roman"/>
          <w:sz w:val="28"/>
          <w:szCs w:val="28"/>
        </w:rPr>
        <w:t xml:space="preserve"> тыс. рублей, факт: </w:t>
      </w:r>
      <w:r w:rsidR="007532A3" w:rsidRPr="007532A3">
        <w:rPr>
          <w:rFonts w:ascii="Times New Roman" w:hAnsi="Times New Roman" w:cs="Times New Roman"/>
          <w:b/>
          <w:sz w:val="28"/>
          <w:szCs w:val="28"/>
        </w:rPr>
        <w:t>82 618</w:t>
      </w:r>
      <w:r w:rsidR="007532A3">
        <w:rPr>
          <w:rFonts w:ascii="Times New Roman" w:hAnsi="Times New Roman" w:cs="Times New Roman"/>
          <w:sz w:val="28"/>
          <w:szCs w:val="28"/>
        </w:rPr>
        <w:t xml:space="preserve"> тыс. рублей, перевыполнение плана: </w:t>
      </w:r>
      <w:r w:rsidR="007532A3" w:rsidRPr="007532A3">
        <w:rPr>
          <w:rFonts w:ascii="Times New Roman" w:hAnsi="Times New Roman" w:cs="Times New Roman"/>
          <w:b/>
          <w:sz w:val="28"/>
          <w:szCs w:val="28"/>
        </w:rPr>
        <w:t>14 049</w:t>
      </w:r>
      <w:r w:rsidR="007532A3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7532A3" w:rsidRPr="00A76E06">
        <w:rPr>
          <w:rFonts w:ascii="Times New Roman" w:hAnsi="Times New Roman" w:cs="Times New Roman"/>
          <w:sz w:val="28"/>
          <w:szCs w:val="28"/>
        </w:rPr>
        <w:t>связанно с авансовыми платежами за будущие периоды</w:t>
      </w:r>
      <w:r w:rsidR="007532A3">
        <w:rPr>
          <w:rFonts w:ascii="Times New Roman" w:hAnsi="Times New Roman" w:cs="Times New Roman"/>
          <w:sz w:val="28"/>
          <w:szCs w:val="28"/>
        </w:rPr>
        <w:t>.</w:t>
      </w:r>
    </w:p>
    <w:p w:rsidR="00094382" w:rsidRDefault="00094382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Необходимо отметить, что решение</w:t>
      </w:r>
      <w:r w:rsidR="00BC290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Думы №741 от 11.11.2020 «</w:t>
      </w:r>
      <w:r w:rsidRPr="00094382">
        <w:rPr>
          <w:rFonts w:ascii="Times New Roman" w:hAnsi="Times New Roman" w:cs="Times New Roman"/>
          <w:sz w:val="28"/>
          <w:szCs w:val="28"/>
        </w:rPr>
        <w:t>О внесении изменений в решение Думы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4382">
        <w:rPr>
          <w:rFonts w:ascii="Times New Roman" w:hAnsi="Times New Roman" w:cs="Times New Roman"/>
          <w:sz w:val="28"/>
          <w:szCs w:val="28"/>
        </w:rPr>
        <w:t>Тольятти от 11.12.2019 № 427 «О бюджете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4382">
        <w:rPr>
          <w:rFonts w:ascii="Times New Roman" w:hAnsi="Times New Roman" w:cs="Times New Roman"/>
          <w:sz w:val="28"/>
          <w:szCs w:val="28"/>
        </w:rPr>
        <w:t>Тольятти на 2020 год и плановый период 2021 и 2022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907">
        <w:rPr>
          <w:rFonts w:ascii="Times New Roman" w:hAnsi="Times New Roman" w:cs="Times New Roman"/>
          <w:sz w:val="28"/>
          <w:szCs w:val="28"/>
        </w:rPr>
        <w:t>уменьшена</w:t>
      </w:r>
      <w:r>
        <w:rPr>
          <w:rFonts w:ascii="Times New Roman" w:hAnsi="Times New Roman" w:cs="Times New Roman"/>
          <w:sz w:val="28"/>
          <w:szCs w:val="28"/>
        </w:rPr>
        <w:t xml:space="preserve"> доходн</w:t>
      </w:r>
      <w:r w:rsidR="00516DD1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часть бюджета по рассматриваемому виду деятельности</w:t>
      </w:r>
      <w:r w:rsidR="008A2266">
        <w:rPr>
          <w:rFonts w:ascii="Times New Roman" w:hAnsi="Times New Roman" w:cs="Times New Roman"/>
          <w:sz w:val="28"/>
          <w:szCs w:val="28"/>
        </w:rPr>
        <w:t xml:space="preserve"> с </w:t>
      </w:r>
      <w:r w:rsidR="008A2266" w:rsidRPr="008A2266">
        <w:rPr>
          <w:rFonts w:ascii="Times New Roman" w:hAnsi="Times New Roman" w:cs="Times New Roman"/>
          <w:b/>
          <w:sz w:val="28"/>
          <w:szCs w:val="28"/>
        </w:rPr>
        <w:t>79 419</w:t>
      </w:r>
      <w:r w:rsidR="008A2266">
        <w:rPr>
          <w:rFonts w:ascii="Times New Roman" w:hAnsi="Times New Roman" w:cs="Times New Roman"/>
          <w:sz w:val="28"/>
          <w:szCs w:val="28"/>
        </w:rPr>
        <w:t xml:space="preserve"> до </w:t>
      </w:r>
      <w:r w:rsidR="008A2266" w:rsidRPr="00094382">
        <w:rPr>
          <w:rFonts w:ascii="Times New Roman" w:hAnsi="Times New Roman" w:cs="Times New Roman"/>
          <w:b/>
          <w:sz w:val="28"/>
          <w:szCs w:val="28"/>
        </w:rPr>
        <w:t>40 647</w:t>
      </w:r>
      <w:r w:rsidR="008A2266" w:rsidRPr="001C1769">
        <w:rPr>
          <w:rFonts w:ascii="Times New Roman" w:hAnsi="Times New Roman" w:cs="Times New Roman"/>
          <w:sz w:val="28"/>
          <w:szCs w:val="28"/>
        </w:rPr>
        <w:t xml:space="preserve"> тыс.</w:t>
      </w:r>
      <w:r w:rsidR="008A2266">
        <w:rPr>
          <w:rFonts w:ascii="Times New Roman" w:hAnsi="Times New Roman" w:cs="Times New Roman"/>
          <w:sz w:val="28"/>
          <w:szCs w:val="28"/>
        </w:rPr>
        <w:t xml:space="preserve"> </w:t>
      </w:r>
      <w:r w:rsidR="008A2266" w:rsidRPr="001C1769">
        <w:rPr>
          <w:rFonts w:ascii="Times New Roman" w:hAnsi="Times New Roman" w:cs="Times New Roman"/>
          <w:sz w:val="28"/>
          <w:szCs w:val="28"/>
        </w:rPr>
        <w:t>руб</w:t>
      </w:r>
      <w:r w:rsidR="008A2266">
        <w:rPr>
          <w:rFonts w:ascii="Times New Roman" w:hAnsi="Times New Roman" w:cs="Times New Roman"/>
          <w:sz w:val="28"/>
          <w:szCs w:val="28"/>
        </w:rPr>
        <w:t>лей (</w:t>
      </w:r>
      <w:r w:rsidR="00516DD1">
        <w:rPr>
          <w:rFonts w:ascii="Times New Roman" w:hAnsi="Times New Roman" w:cs="Times New Roman"/>
          <w:sz w:val="28"/>
          <w:szCs w:val="28"/>
        </w:rPr>
        <w:t>на 48,8%</w:t>
      </w:r>
      <w:r w:rsidR="008A2266">
        <w:rPr>
          <w:rFonts w:ascii="Times New Roman" w:hAnsi="Times New Roman" w:cs="Times New Roman"/>
          <w:sz w:val="28"/>
          <w:szCs w:val="28"/>
        </w:rPr>
        <w:t>)</w:t>
      </w:r>
      <w:r w:rsidR="00BC2907">
        <w:rPr>
          <w:rFonts w:ascii="Times New Roman" w:hAnsi="Times New Roman" w:cs="Times New Roman"/>
          <w:sz w:val="28"/>
          <w:szCs w:val="28"/>
        </w:rPr>
        <w:t>, а именно:</w:t>
      </w:r>
      <w:proofErr w:type="gramEnd"/>
    </w:p>
    <w:p w:rsidR="00BC2907" w:rsidRPr="008A2266" w:rsidRDefault="00BC2907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государственная пошлина за выдачу </w:t>
      </w:r>
      <w:r w:rsidRPr="00BC2907">
        <w:rPr>
          <w:rFonts w:ascii="Times New Roman" w:hAnsi="Times New Roman" w:cs="Times New Roman"/>
          <w:sz w:val="28"/>
          <w:szCs w:val="28"/>
        </w:rPr>
        <w:t>разрешения на установку рекламной конструк</w:t>
      </w:r>
      <w:r>
        <w:rPr>
          <w:rFonts w:ascii="Times New Roman" w:hAnsi="Times New Roman" w:cs="Times New Roman"/>
          <w:sz w:val="28"/>
          <w:szCs w:val="28"/>
        </w:rPr>
        <w:t xml:space="preserve">ции снижена на </w:t>
      </w:r>
      <w:r w:rsidRPr="008A2266">
        <w:rPr>
          <w:rFonts w:ascii="Times New Roman" w:hAnsi="Times New Roman" w:cs="Times New Roman"/>
          <w:b/>
          <w:sz w:val="28"/>
          <w:szCs w:val="28"/>
        </w:rPr>
        <w:t>750</w:t>
      </w:r>
      <w:r>
        <w:rPr>
          <w:rFonts w:ascii="Times New Roman" w:hAnsi="Times New Roman" w:cs="Times New Roman"/>
          <w:sz w:val="28"/>
          <w:szCs w:val="28"/>
        </w:rPr>
        <w:t xml:space="preserve"> тыс. рублей (с </w:t>
      </w:r>
      <w:r w:rsidR="0015567C" w:rsidRPr="008A2266">
        <w:rPr>
          <w:rFonts w:ascii="Times New Roman" w:hAnsi="Times New Roman" w:cs="Times New Roman"/>
          <w:b/>
          <w:sz w:val="28"/>
          <w:szCs w:val="28"/>
        </w:rPr>
        <w:t>2 855</w:t>
      </w:r>
      <w:r w:rsidR="0015567C">
        <w:rPr>
          <w:rFonts w:ascii="Times New Roman" w:hAnsi="Times New Roman" w:cs="Times New Roman"/>
          <w:sz w:val="28"/>
          <w:szCs w:val="28"/>
        </w:rPr>
        <w:t xml:space="preserve"> до </w:t>
      </w:r>
      <w:r w:rsidR="0015567C" w:rsidRPr="008A2266">
        <w:rPr>
          <w:rFonts w:ascii="Times New Roman" w:hAnsi="Times New Roman" w:cs="Times New Roman"/>
          <w:b/>
          <w:sz w:val="28"/>
          <w:szCs w:val="28"/>
        </w:rPr>
        <w:t>2</w:t>
      </w:r>
      <w:r w:rsidR="008A2266" w:rsidRPr="008A2266">
        <w:rPr>
          <w:rFonts w:ascii="Times New Roman" w:hAnsi="Times New Roman" w:cs="Times New Roman"/>
          <w:b/>
          <w:sz w:val="28"/>
          <w:szCs w:val="28"/>
        </w:rPr>
        <w:t> 105</w:t>
      </w:r>
      <w:r w:rsidR="008A226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A2266" w:rsidRPr="008A2266">
        <w:rPr>
          <w:rFonts w:ascii="Times New Roman" w:hAnsi="Times New Roman" w:cs="Times New Roman"/>
          <w:b/>
          <w:sz w:val="28"/>
          <w:szCs w:val="28"/>
        </w:rPr>
        <w:t>в 1,36 раза</w:t>
      </w:r>
      <w:r w:rsidR="008A2266">
        <w:rPr>
          <w:rFonts w:ascii="Times New Roman" w:hAnsi="Times New Roman" w:cs="Times New Roman"/>
          <w:sz w:val="28"/>
          <w:szCs w:val="28"/>
        </w:rPr>
        <w:t>);</w:t>
      </w:r>
    </w:p>
    <w:p w:rsidR="00BC2907" w:rsidRDefault="00BC2907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C2907">
        <w:rPr>
          <w:rFonts w:ascii="Times New Roman" w:hAnsi="Times New Roman" w:cs="Times New Roman"/>
          <w:sz w:val="28"/>
          <w:szCs w:val="28"/>
        </w:rPr>
        <w:t xml:space="preserve">плата за право заключения договора на размещение рекламных конструкций снижена на </w:t>
      </w:r>
      <w:r w:rsidRPr="00BC2907">
        <w:rPr>
          <w:rFonts w:ascii="Times New Roman" w:hAnsi="Times New Roman" w:cs="Times New Roman"/>
          <w:b/>
          <w:sz w:val="28"/>
          <w:szCs w:val="28"/>
        </w:rPr>
        <w:t>10 887</w:t>
      </w:r>
      <w:r w:rsidRPr="00BC2907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 xml:space="preserve">лей (с </w:t>
      </w:r>
      <w:r w:rsidRPr="00BC2907">
        <w:rPr>
          <w:rFonts w:ascii="Times New Roman" w:hAnsi="Times New Roman" w:cs="Times New Roman"/>
          <w:b/>
          <w:sz w:val="28"/>
          <w:szCs w:val="28"/>
        </w:rPr>
        <w:t>13 874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BC2907">
        <w:rPr>
          <w:rFonts w:ascii="Times New Roman" w:hAnsi="Times New Roman" w:cs="Times New Roman"/>
          <w:b/>
          <w:sz w:val="28"/>
          <w:szCs w:val="28"/>
        </w:rPr>
        <w:t>2 987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Pr="00BC2907">
        <w:rPr>
          <w:rFonts w:ascii="Times New Roman" w:hAnsi="Times New Roman" w:cs="Times New Roman"/>
          <w:b/>
          <w:sz w:val="28"/>
          <w:szCs w:val="28"/>
        </w:rPr>
        <w:t>в 4,6 раза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C2907" w:rsidRDefault="00BC2907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C2907">
        <w:rPr>
          <w:rFonts w:ascii="Times New Roman" w:hAnsi="Times New Roman" w:cs="Times New Roman"/>
          <w:sz w:val="28"/>
          <w:szCs w:val="28"/>
        </w:rPr>
        <w:t xml:space="preserve"> плата по договорам на установку и эксплуатацию рекламных конструкций снижена на </w:t>
      </w:r>
      <w:r w:rsidRPr="00BC2907">
        <w:rPr>
          <w:rFonts w:ascii="Times New Roman" w:hAnsi="Times New Roman" w:cs="Times New Roman"/>
          <w:b/>
          <w:sz w:val="28"/>
          <w:szCs w:val="28"/>
        </w:rPr>
        <w:t>27 135</w:t>
      </w:r>
      <w:r w:rsidRPr="00BC2907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 xml:space="preserve">лей (с </w:t>
      </w:r>
      <w:r w:rsidRPr="00BC2907">
        <w:rPr>
          <w:rFonts w:ascii="Times New Roman" w:hAnsi="Times New Roman" w:cs="Times New Roman"/>
          <w:b/>
          <w:sz w:val="28"/>
          <w:szCs w:val="28"/>
        </w:rPr>
        <w:t>62 690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BC2907">
        <w:rPr>
          <w:rFonts w:ascii="Times New Roman" w:hAnsi="Times New Roman" w:cs="Times New Roman"/>
          <w:b/>
          <w:sz w:val="28"/>
          <w:szCs w:val="28"/>
        </w:rPr>
        <w:t>35 555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Pr="00BC2907">
        <w:rPr>
          <w:rFonts w:ascii="Times New Roman" w:hAnsi="Times New Roman" w:cs="Times New Roman"/>
          <w:b/>
          <w:sz w:val="28"/>
          <w:szCs w:val="28"/>
        </w:rPr>
        <w:t>в 1,8 раза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25CA9" w:rsidRPr="00925CA9" w:rsidRDefault="00925CA9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CA9">
        <w:rPr>
          <w:rFonts w:ascii="Times New Roman" w:hAnsi="Times New Roman" w:cs="Times New Roman"/>
          <w:sz w:val="28"/>
          <w:szCs w:val="28"/>
        </w:rPr>
        <w:t xml:space="preserve">В представленной администрацией информации не дается сравнение </w:t>
      </w:r>
      <w:r>
        <w:rPr>
          <w:rFonts w:ascii="Times New Roman" w:hAnsi="Times New Roman" w:cs="Times New Roman"/>
          <w:sz w:val="28"/>
          <w:szCs w:val="28"/>
        </w:rPr>
        <w:t xml:space="preserve">плановых и фактических финансовых показателей, отсутствует пояснение причин невыполнения плана. </w:t>
      </w:r>
      <w:r w:rsidRPr="00925CA9">
        <w:rPr>
          <w:rFonts w:ascii="Times New Roman" w:hAnsi="Times New Roman" w:cs="Times New Roman"/>
          <w:b/>
          <w:sz w:val="28"/>
          <w:szCs w:val="28"/>
        </w:rPr>
        <w:t>Требуются пояснения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56F" w:rsidRDefault="004B4EE5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4B4EE5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B4EE5">
        <w:rPr>
          <w:rFonts w:ascii="Times New Roman" w:hAnsi="Times New Roman" w:cs="Times New Roman"/>
          <w:sz w:val="28"/>
          <w:szCs w:val="28"/>
        </w:rPr>
        <w:t xml:space="preserve"> министерства имущественных отношений Самарской области от 20.04.2017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4B4EE5">
        <w:rPr>
          <w:rFonts w:ascii="Times New Roman" w:hAnsi="Times New Roman" w:cs="Times New Roman"/>
          <w:sz w:val="28"/>
          <w:szCs w:val="28"/>
        </w:rPr>
        <w:t xml:space="preserve">500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4EE5">
        <w:rPr>
          <w:rFonts w:ascii="Times New Roman" w:hAnsi="Times New Roman" w:cs="Times New Roman"/>
          <w:sz w:val="28"/>
          <w:szCs w:val="28"/>
        </w:rPr>
        <w:t>Об утверждении схемы размещения рекламных конструкций на территории городского округа Тольятти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B4EE5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B4EE5">
        <w:rPr>
          <w:rFonts w:ascii="Times New Roman" w:hAnsi="Times New Roman" w:cs="Times New Roman"/>
          <w:sz w:val="28"/>
          <w:szCs w:val="28"/>
        </w:rPr>
        <w:t xml:space="preserve"> Схема)</w:t>
      </w:r>
      <w:r>
        <w:rPr>
          <w:rFonts w:ascii="Times New Roman" w:hAnsi="Times New Roman" w:cs="Times New Roman"/>
          <w:sz w:val="28"/>
          <w:szCs w:val="28"/>
        </w:rPr>
        <w:t xml:space="preserve"> была утверждена Схема, приложением к которой является </w:t>
      </w:r>
      <w:r w:rsidRPr="004B4EE5">
        <w:rPr>
          <w:rFonts w:ascii="Times New Roman" w:hAnsi="Times New Roman" w:cs="Times New Roman"/>
          <w:sz w:val="28"/>
          <w:szCs w:val="28"/>
        </w:rPr>
        <w:t>адресная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EE5">
        <w:rPr>
          <w:rFonts w:ascii="Times New Roman" w:hAnsi="Times New Roman" w:cs="Times New Roman"/>
          <w:sz w:val="28"/>
          <w:szCs w:val="28"/>
        </w:rPr>
        <w:t>размещения рекламных конструкций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EE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B4EE5">
        <w:rPr>
          <w:rFonts w:ascii="Times New Roman" w:hAnsi="Times New Roman" w:cs="Times New Roman"/>
          <w:sz w:val="28"/>
          <w:szCs w:val="28"/>
        </w:rPr>
        <w:t xml:space="preserve">ольятти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B4EE5">
        <w:rPr>
          <w:rFonts w:ascii="Times New Roman" w:hAnsi="Times New Roman" w:cs="Times New Roman"/>
          <w:sz w:val="28"/>
          <w:szCs w:val="28"/>
        </w:rPr>
        <w:t>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Адресная программа)</w:t>
      </w:r>
      <w:r w:rsidR="007D256F">
        <w:rPr>
          <w:rFonts w:ascii="Times New Roman" w:hAnsi="Times New Roman" w:cs="Times New Roman"/>
          <w:sz w:val="28"/>
          <w:szCs w:val="28"/>
        </w:rPr>
        <w:t>.</w:t>
      </w:r>
      <w:r w:rsidR="00925CA9">
        <w:rPr>
          <w:rFonts w:ascii="Times New Roman" w:hAnsi="Times New Roman" w:cs="Times New Roman"/>
          <w:sz w:val="28"/>
          <w:szCs w:val="28"/>
        </w:rPr>
        <w:t xml:space="preserve"> В 2018 году, </w:t>
      </w:r>
      <w:r w:rsidR="00BD3DD3">
        <w:rPr>
          <w:rFonts w:ascii="Times New Roman" w:hAnsi="Times New Roman" w:cs="Times New Roman"/>
          <w:sz w:val="28"/>
          <w:szCs w:val="28"/>
        </w:rPr>
        <w:t>п</w:t>
      </w:r>
      <w:r w:rsidR="00BD3DD3" w:rsidRPr="00BD3DD3">
        <w:rPr>
          <w:rFonts w:ascii="Times New Roman" w:hAnsi="Times New Roman" w:cs="Times New Roman"/>
          <w:sz w:val="28"/>
          <w:szCs w:val="28"/>
        </w:rPr>
        <w:t xml:space="preserve">риказом министерства имущественных отношений Самарской области от 11.10.2018 </w:t>
      </w:r>
      <w:r w:rsidR="00BD3DD3">
        <w:rPr>
          <w:rFonts w:ascii="Times New Roman" w:hAnsi="Times New Roman" w:cs="Times New Roman"/>
          <w:sz w:val="28"/>
          <w:szCs w:val="28"/>
        </w:rPr>
        <w:t>№</w:t>
      </w:r>
      <w:r w:rsidR="00BD3DD3" w:rsidRPr="00BD3DD3">
        <w:rPr>
          <w:rFonts w:ascii="Times New Roman" w:hAnsi="Times New Roman" w:cs="Times New Roman"/>
          <w:sz w:val="28"/>
          <w:szCs w:val="28"/>
        </w:rPr>
        <w:t xml:space="preserve"> 1480</w:t>
      </w:r>
      <w:r w:rsidR="00BD3DD3">
        <w:rPr>
          <w:rFonts w:ascii="Times New Roman" w:hAnsi="Times New Roman" w:cs="Times New Roman"/>
          <w:sz w:val="28"/>
          <w:szCs w:val="28"/>
        </w:rPr>
        <w:t xml:space="preserve"> были внесены изменения в Адресную программу в части признания утратившими силу 5 пунктов (174, 200, 201, 239, 258) и </w:t>
      </w:r>
      <w:r w:rsidR="004D08FB">
        <w:rPr>
          <w:rFonts w:ascii="Times New Roman" w:hAnsi="Times New Roman" w:cs="Times New Roman"/>
          <w:sz w:val="28"/>
          <w:szCs w:val="28"/>
        </w:rPr>
        <w:t>дополн</w:t>
      </w:r>
      <w:r w:rsidR="00A76E06">
        <w:rPr>
          <w:rFonts w:ascii="Times New Roman" w:hAnsi="Times New Roman" w:cs="Times New Roman"/>
          <w:sz w:val="28"/>
          <w:szCs w:val="28"/>
        </w:rPr>
        <w:t>ения</w:t>
      </w:r>
      <w:r w:rsidR="004D08FB">
        <w:rPr>
          <w:rFonts w:ascii="Times New Roman" w:hAnsi="Times New Roman" w:cs="Times New Roman"/>
          <w:sz w:val="28"/>
          <w:szCs w:val="28"/>
        </w:rPr>
        <w:t xml:space="preserve"> 427 пунктами (с 1160 по 1586). В 2019 году, п</w:t>
      </w:r>
      <w:r w:rsidR="004D08FB" w:rsidRPr="00BD3DD3">
        <w:rPr>
          <w:rFonts w:ascii="Times New Roman" w:hAnsi="Times New Roman" w:cs="Times New Roman"/>
          <w:sz w:val="28"/>
          <w:szCs w:val="28"/>
        </w:rPr>
        <w:t xml:space="preserve">риказом министерства имущественных отношений Самарской области от </w:t>
      </w:r>
      <w:r w:rsidR="004D08FB" w:rsidRPr="004D08FB">
        <w:rPr>
          <w:rFonts w:ascii="Times New Roman" w:hAnsi="Times New Roman" w:cs="Times New Roman"/>
          <w:sz w:val="28"/>
          <w:szCs w:val="28"/>
        </w:rPr>
        <w:t xml:space="preserve">20.12.2019 </w:t>
      </w:r>
      <w:r w:rsidR="004D08FB">
        <w:rPr>
          <w:rFonts w:ascii="Times New Roman" w:hAnsi="Times New Roman" w:cs="Times New Roman"/>
          <w:sz w:val="28"/>
          <w:szCs w:val="28"/>
        </w:rPr>
        <w:t>№</w:t>
      </w:r>
      <w:r w:rsidR="004D08FB" w:rsidRPr="004D08FB">
        <w:rPr>
          <w:rFonts w:ascii="Times New Roman" w:hAnsi="Times New Roman" w:cs="Times New Roman"/>
          <w:sz w:val="28"/>
          <w:szCs w:val="28"/>
        </w:rPr>
        <w:t xml:space="preserve"> 3048</w:t>
      </w:r>
      <w:r w:rsidR="004D08FB">
        <w:rPr>
          <w:rFonts w:ascii="Times New Roman" w:hAnsi="Times New Roman" w:cs="Times New Roman"/>
          <w:sz w:val="28"/>
          <w:szCs w:val="28"/>
        </w:rPr>
        <w:t xml:space="preserve"> были внесены изменения в Адресную программу в части признания утратившими силу 3 пунктов (205, 241, 242) и дополн</w:t>
      </w:r>
      <w:r w:rsidR="00A76E06">
        <w:rPr>
          <w:rFonts w:ascii="Times New Roman" w:hAnsi="Times New Roman" w:cs="Times New Roman"/>
          <w:sz w:val="28"/>
          <w:szCs w:val="28"/>
        </w:rPr>
        <w:t>ения</w:t>
      </w:r>
      <w:r w:rsidR="004D08FB">
        <w:rPr>
          <w:rFonts w:ascii="Times New Roman" w:hAnsi="Times New Roman" w:cs="Times New Roman"/>
          <w:sz w:val="28"/>
          <w:szCs w:val="28"/>
        </w:rPr>
        <w:t xml:space="preserve"> 6 пунктами (с 1587 по 1592).</w:t>
      </w:r>
      <w:r w:rsidR="00E73AA4">
        <w:rPr>
          <w:rFonts w:ascii="Times New Roman" w:hAnsi="Times New Roman" w:cs="Times New Roman"/>
          <w:sz w:val="28"/>
          <w:szCs w:val="28"/>
        </w:rPr>
        <w:t xml:space="preserve"> </w:t>
      </w:r>
      <w:r w:rsidR="00E73AA4" w:rsidRPr="00E73AA4">
        <w:rPr>
          <w:rFonts w:ascii="Times New Roman" w:hAnsi="Times New Roman" w:cs="Times New Roman"/>
          <w:b/>
          <w:sz w:val="28"/>
          <w:szCs w:val="28"/>
        </w:rPr>
        <w:t>В 2020 году изменения в Схему не вносились</w:t>
      </w:r>
      <w:r w:rsidR="00E73AA4">
        <w:rPr>
          <w:rFonts w:ascii="Times New Roman" w:hAnsi="Times New Roman" w:cs="Times New Roman"/>
          <w:sz w:val="28"/>
          <w:szCs w:val="28"/>
        </w:rPr>
        <w:t>.</w:t>
      </w:r>
    </w:p>
    <w:p w:rsidR="00E73AA4" w:rsidRDefault="00B4510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73AA4">
        <w:rPr>
          <w:rFonts w:ascii="Times New Roman" w:hAnsi="Times New Roman" w:cs="Times New Roman"/>
          <w:sz w:val="28"/>
          <w:szCs w:val="28"/>
        </w:rPr>
        <w:t>начало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73AA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Адресная программа содержала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B4510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пунктов с о</w:t>
      </w:r>
      <w:r w:rsidRPr="00B4510E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4510E">
        <w:rPr>
          <w:rFonts w:ascii="Times New Roman" w:hAnsi="Times New Roman" w:cs="Times New Roman"/>
          <w:sz w:val="28"/>
          <w:szCs w:val="28"/>
        </w:rPr>
        <w:t xml:space="preserve"> площадь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4510E">
        <w:rPr>
          <w:rFonts w:ascii="Times New Roman" w:hAnsi="Times New Roman" w:cs="Times New Roman"/>
          <w:sz w:val="28"/>
          <w:szCs w:val="28"/>
        </w:rPr>
        <w:t xml:space="preserve"> информационного поля рекламн</w:t>
      </w:r>
      <w:r w:rsidR="00770301">
        <w:rPr>
          <w:rFonts w:ascii="Times New Roman" w:hAnsi="Times New Roman" w:cs="Times New Roman"/>
          <w:sz w:val="28"/>
          <w:szCs w:val="28"/>
        </w:rPr>
        <w:t>ых</w:t>
      </w:r>
      <w:r w:rsidRPr="00B4510E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770301">
        <w:rPr>
          <w:rFonts w:ascii="Times New Roman" w:hAnsi="Times New Roman" w:cs="Times New Roman"/>
          <w:sz w:val="28"/>
          <w:szCs w:val="28"/>
        </w:rPr>
        <w:t>й</w:t>
      </w:r>
      <w:r w:rsidRPr="00B4510E">
        <w:rPr>
          <w:rFonts w:ascii="Times New Roman" w:hAnsi="Times New Roman" w:cs="Times New Roman"/>
          <w:sz w:val="28"/>
          <w:szCs w:val="28"/>
        </w:rPr>
        <w:t xml:space="preserve"> </w:t>
      </w:r>
      <w:r w:rsidRPr="00B4510E">
        <w:rPr>
          <w:rFonts w:ascii="Times New Roman" w:hAnsi="Times New Roman" w:cs="Times New Roman"/>
          <w:b/>
          <w:sz w:val="28"/>
          <w:szCs w:val="28"/>
        </w:rPr>
        <w:t>71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B4510E">
        <w:rPr>
          <w:rFonts w:ascii="Times New Roman" w:hAnsi="Times New Roman" w:cs="Times New Roman"/>
          <w:b/>
          <w:sz w:val="28"/>
          <w:szCs w:val="28"/>
        </w:rPr>
        <w:t>815</w:t>
      </w:r>
      <w:r w:rsidRPr="00B4510E">
        <w:rPr>
          <w:rFonts w:ascii="Times New Roman" w:hAnsi="Times New Roman" w:cs="Times New Roman"/>
          <w:sz w:val="28"/>
          <w:szCs w:val="28"/>
        </w:rPr>
        <w:t>,34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10E">
        <w:rPr>
          <w:rFonts w:ascii="Times New Roman" w:hAnsi="Times New Roman" w:cs="Times New Roman"/>
          <w:sz w:val="28"/>
          <w:szCs w:val="28"/>
        </w:rPr>
        <w:t>кв. 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6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EA9" w:rsidRDefault="00396058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части несогласованности между площадями и габаритами информационного поля рекламных конструкций, </w:t>
      </w:r>
      <w:r w:rsidR="00663EA9">
        <w:rPr>
          <w:rFonts w:ascii="Times New Roman" w:hAnsi="Times New Roman" w:cs="Times New Roman"/>
          <w:sz w:val="28"/>
          <w:szCs w:val="28"/>
        </w:rPr>
        <w:t>более чем на</w:t>
      </w:r>
      <w:r>
        <w:rPr>
          <w:rFonts w:ascii="Times New Roman" w:hAnsi="Times New Roman" w:cs="Times New Roman"/>
          <w:sz w:val="28"/>
          <w:szCs w:val="28"/>
        </w:rPr>
        <w:t xml:space="preserve"> 1 кв. м. в Адресной программе выявлено ещё 2 ошибки: </w:t>
      </w:r>
    </w:p>
    <w:p w:rsidR="00663EA9" w:rsidRDefault="00663EA9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96058">
        <w:rPr>
          <w:rFonts w:ascii="Times New Roman" w:hAnsi="Times New Roman" w:cs="Times New Roman"/>
          <w:sz w:val="28"/>
          <w:szCs w:val="28"/>
        </w:rPr>
        <w:t>пункт 144 (12,8 кв. м вместо 4,48 кв. 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6058" w:rsidRDefault="00663EA9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пункт</w:t>
      </w:r>
      <w:r w:rsidR="00396058">
        <w:rPr>
          <w:rFonts w:ascii="Times New Roman" w:hAnsi="Times New Roman" w:cs="Times New Roman"/>
          <w:sz w:val="28"/>
          <w:szCs w:val="28"/>
        </w:rPr>
        <w:t xml:space="preserve"> 1587 (16,88 кв. м вместо 49,5 </w:t>
      </w:r>
      <w:proofErr w:type="spellStart"/>
      <w:r w:rsidR="003960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96058">
        <w:rPr>
          <w:rFonts w:ascii="Times New Roman" w:hAnsi="Times New Roman" w:cs="Times New Roman"/>
          <w:sz w:val="28"/>
          <w:szCs w:val="28"/>
        </w:rPr>
        <w:t>).</w:t>
      </w:r>
    </w:p>
    <w:p w:rsidR="00A83D75" w:rsidRDefault="00A83D75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Адресной программе присутствуют и другие ошибки:</w:t>
      </w:r>
    </w:p>
    <w:p w:rsidR="00A83D75" w:rsidRPr="00A83D75" w:rsidRDefault="00A83D75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 графе «</w:t>
      </w:r>
      <w:r w:rsidRPr="00A83D75">
        <w:rPr>
          <w:rFonts w:ascii="Times New Roman" w:hAnsi="Times New Roman" w:cs="Times New Roman"/>
          <w:sz w:val="28"/>
          <w:szCs w:val="28"/>
        </w:rPr>
        <w:t>Координаты рекламной конструкции</w:t>
      </w:r>
      <w:r>
        <w:rPr>
          <w:rFonts w:ascii="Times New Roman" w:hAnsi="Times New Roman" w:cs="Times New Roman"/>
          <w:sz w:val="28"/>
          <w:szCs w:val="28"/>
        </w:rPr>
        <w:t>» указаны координаты в разных системах координат (</w:t>
      </w:r>
      <w:r>
        <w:rPr>
          <w:rFonts w:ascii="Times New Roman" w:hAnsi="Times New Roman" w:cs="Times New Roman"/>
          <w:sz w:val="28"/>
          <w:szCs w:val="28"/>
          <w:lang w:val="en-US"/>
        </w:rPr>
        <w:t>WGS</w:t>
      </w:r>
      <w:r>
        <w:rPr>
          <w:rFonts w:ascii="Times New Roman" w:hAnsi="Times New Roman" w:cs="Times New Roman"/>
          <w:sz w:val="28"/>
          <w:szCs w:val="28"/>
        </w:rPr>
        <w:t xml:space="preserve">-84, местная система координат города Тольятти, действовавшая до 2018 года), но не используется система координат, применяемая службами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</w:t>
      </w:r>
      <w:r w:rsidR="00FC6C8E">
        <w:rPr>
          <w:rFonts w:ascii="Times New Roman" w:hAnsi="Times New Roman" w:cs="Times New Roman"/>
          <w:sz w:val="28"/>
          <w:szCs w:val="28"/>
        </w:rPr>
        <w:t>ории Самарской области (МСК-63);</w:t>
      </w:r>
    </w:p>
    <w:p w:rsidR="00FC6C8E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 разработан и не используется классификатор видов рекламных конструкций. Это наглядно видно на следующих значениях граф «</w:t>
      </w:r>
      <w:r w:rsidRPr="00FC6C8E">
        <w:rPr>
          <w:rFonts w:ascii="Times New Roman" w:hAnsi="Times New Roman" w:cs="Times New Roman"/>
          <w:sz w:val="28"/>
          <w:szCs w:val="28"/>
        </w:rPr>
        <w:t>Вид рекламной конструкции</w:t>
      </w:r>
      <w:r>
        <w:rPr>
          <w:rFonts w:ascii="Times New Roman" w:hAnsi="Times New Roman" w:cs="Times New Roman"/>
          <w:sz w:val="28"/>
          <w:szCs w:val="28"/>
        </w:rPr>
        <w:t>» и «</w:t>
      </w:r>
      <w:r w:rsidRPr="00FC6C8E">
        <w:rPr>
          <w:rFonts w:ascii="Times New Roman" w:hAnsi="Times New Roman" w:cs="Times New Roman"/>
          <w:sz w:val="28"/>
          <w:szCs w:val="28"/>
        </w:rPr>
        <w:t>Тип рекламной конструкции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FC6C8E" w:rsidRPr="008214B6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4B6">
        <w:rPr>
          <w:rFonts w:ascii="Times New Roman" w:hAnsi="Times New Roman" w:cs="Times New Roman"/>
          <w:sz w:val="28"/>
          <w:szCs w:val="28"/>
        </w:rPr>
        <w:t>«</w:t>
      </w:r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Уникальная (нестандартная) рекламная конструкция</w:t>
      </w:r>
      <w:r w:rsidRPr="008214B6">
        <w:rPr>
          <w:rFonts w:ascii="Times New Roman" w:hAnsi="Times New Roman" w:cs="Times New Roman"/>
          <w:sz w:val="28"/>
          <w:szCs w:val="28"/>
        </w:rPr>
        <w:t>»;</w:t>
      </w:r>
    </w:p>
    <w:p w:rsidR="00FC6C8E" w:rsidRPr="008214B6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4B6">
        <w:rPr>
          <w:rFonts w:ascii="Times New Roman" w:hAnsi="Times New Roman" w:cs="Times New Roman"/>
          <w:sz w:val="28"/>
          <w:szCs w:val="28"/>
        </w:rPr>
        <w:t>«</w:t>
      </w:r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Нестандартная (уникальная) рекламная конструкция</w:t>
      </w:r>
      <w:r w:rsidRPr="008214B6">
        <w:rPr>
          <w:rFonts w:ascii="Times New Roman" w:hAnsi="Times New Roman" w:cs="Times New Roman"/>
          <w:sz w:val="28"/>
          <w:szCs w:val="28"/>
        </w:rPr>
        <w:t>»;</w:t>
      </w:r>
    </w:p>
    <w:p w:rsidR="00FC6C8E" w:rsidRPr="008214B6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4B6">
        <w:rPr>
          <w:rFonts w:ascii="Times New Roman" w:hAnsi="Times New Roman" w:cs="Times New Roman"/>
          <w:sz w:val="28"/>
          <w:szCs w:val="28"/>
        </w:rPr>
        <w:t>«</w:t>
      </w:r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Флажная композиция</w:t>
      </w:r>
      <w:r w:rsidRPr="008214B6">
        <w:rPr>
          <w:rFonts w:ascii="Times New Roman" w:hAnsi="Times New Roman" w:cs="Times New Roman"/>
          <w:sz w:val="28"/>
          <w:szCs w:val="28"/>
        </w:rPr>
        <w:t>»;</w:t>
      </w:r>
    </w:p>
    <w:p w:rsidR="00FC6C8E" w:rsidRPr="008214B6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4B6">
        <w:rPr>
          <w:rFonts w:ascii="Times New Roman" w:hAnsi="Times New Roman" w:cs="Times New Roman"/>
          <w:sz w:val="28"/>
          <w:szCs w:val="28"/>
        </w:rPr>
        <w:t>«</w:t>
      </w:r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Рекламная </w:t>
      </w:r>
      <w:proofErr w:type="spellStart"/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флаговая</w:t>
      </w:r>
      <w:proofErr w:type="spellEnd"/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композиция, состоящая из 3 флагштоков</w:t>
      </w:r>
      <w:r w:rsidRPr="008214B6">
        <w:rPr>
          <w:rFonts w:ascii="Times New Roman" w:hAnsi="Times New Roman" w:cs="Times New Roman"/>
          <w:sz w:val="28"/>
          <w:szCs w:val="28"/>
        </w:rPr>
        <w:t>»;</w:t>
      </w:r>
    </w:p>
    <w:p w:rsidR="00FC6C8E" w:rsidRPr="008214B6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4B6">
        <w:rPr>
          <w:rFonts w:ascii="Times New Roman" w:hAnsi="Times New Roman" w:cs="Times New Roman"/>
          <w:sz w:val="28"/>
          <w:szCs w:val="28"/>
        </w:rPr>
        <w:t>«</w:t>
      </w:r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Рекламная </w:t>
      </w:r>
      <w:proofErr w:type="spellStart"/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флаговая</w:t>
      </w:r>
      <w:proofErr w:type="spellEnd"/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композиция, состоящая из 7 флагштоков</w:t>
      </w:r>
      <w:r w:rsidRPr="008214B6">
        <w:rPr>
          <w:rFonts w:ascii="Times New Roman" w:hAnsi="Times New Roman" w:cs="Times New Roman"/>
          <w:sz w:val="28"/>
          <w:szCs w:val="28"/>
        </w:rPr>
        <w:t>»;</w:t>
      </w:r>
    </w:p>
    <w:p w:rsidR="00FC6C8E" w:rsidRPr="008214B6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4B6">
        <w:rPr>
          <w:rFonts w:ascii="Times New Roman" w:hAnsi="Times New Roman" w:cs="Times New Roman"/>
          <w:sz w:val="28"/>
          <w:szCs w:val="28"/>
        </w:rPr>
        <w:t>«</w:t>
      </w:r>
      <w:r w:rsidRPr="00DE2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Щитовая установка большого формата большого формата</w:t>
      </w:r>
      <w:r w:rsidRPr="008214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3D75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C8E">
        <w:rPr>
          <w:rFonts w:ascii="Times New Roman" w:hAnsi="Times New Roman" w:cs="Times New Roman"/>
          <w:sz w:val="28"/>
          <w:szCs w:val="28"/>
        </w:rPr>
        <w:t>–</w:t>
      </w:r>
      <w:r w:rsidRPr="00FC6C8E">
        <w:rPr>
          <w:rFonts w:ascii="Times New Roman" w:hAnsi="Times New Roman" w:cs="Times New Roman"/>
          <w:sz w:val="28"/>
          <w:szCs w:val="28"/>
        </w:rPr>
        <w:tab/>
        <w:t xml:space="preserve">в </w:t>
      </w:r>
      <w:r>
        <w:rPr>
          <w:rFonts w:ascii="Times New Roman" w:hAnsi="Times New Roman" w:cs="Times New Roman"/>
          <w:sz w:val="28"/>
          <w:szCs w:val="28"/>
        </w:rPr>
        <w:t>графе</w:t>
      </w:r>
      <w:r w:rsidRPr="00FC6C8E">
        <w:rPr>
          <w:rFonts w:ascii="Times New Roman" w:hAnsi="Times New Roman" w:cs="Times New Roman"/>
          <w:sz w:val="28"/>
          <w:szCs w:val="28"/>
        </w:rPr>
        <w:t xml:space="preserve"> «Координаты рекламной конструкции» указан</w:t>
      </w:r>
      <w:r>
        <w:rPr>
          <w:rFonts w:ascii="Times New Roman" w:hAnsi="Times New Roman" w:cs="Times New Roman"/>
          <w:sz w:val="28"/>
          <w:szCs w:val="28"/>
        </w:rPr>
        <w:t xml:space="preserve">о разное количество </w:t>
      </w:r>
      <w:r w:rsidRPr="00FC6C8E">
        <w:rPr>
          <w:rFonts w:ascii="Times New Roman" w:hAnsi="Times New Roman" w:cs="Times New Roman"/>
          <w:sz w:val="28"/>
          <w:szCs w:val="28"/>
        </w:rPr>
        <w:t>координат,</w:t>
      </w:r>
      <w:r>
        <w:rPr>
          <w:rFonts w:ascii="Times New Roman" w:hAnsi="Times New Roman" w:cs="Times New Roman"/>
          <w:sz w:val="28"/>
          <w:szCs w:val="28"/>
        </w:rPr>
        <w:t xml:space="preserve"> в основном одна.</w:t>
      </w:r>
      <w:r w:rsidRPr="00FC6C8E">
        <w:rPr>
          <w:rFonts w:ascii="Times New Roman" w:hAnsi="Times New Roman" w:cs="Times New Roman"/>
          <w:sz w:val="28"/>
          <w:szCs w:val="28"/>
        </w:rPr>
        <w:t xml:space="preserve"> На наш взгляд наиболее полным является указание всех поворотных точек границы территории, занятой рекламной конструкцией, так как это сделано в городском округе Кинель.</w:t>
      </w:r>
    </w:p>
    <w:p w:rsidR="00FC6C8E" w:rsidRPr="004069A8" w:rsidRDefault="00FC6C8E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9A8">
        <w:rPr>
          <w:rFonts w:ascii="Times New Roman" w:hAnsi="Times New Roman" w:cs="Times New Roman"/>
          <w:b/>
          <w:sz w:val="28"/>
          <w:szCs w:val="28"/>
        </w:rPr>
        <w:t xml:space="preserve">Предлагается администрации провести критический анализ Адресной программы, подготовить предложения по исправлению выявленных недочетов и направить предложения в министерство </w:t>
      </w:r>
      <w:r w:rsidR="00516DD1" w:rsidRPr="004069A8">
        <w:rPr>
          <w:rFonts w:ascii="Times New Roman" w:hAnsi="Times New Roman" w:cs="Times New Roman"/>
          <w:b/>
          <w:sz w:val="28"/>
          <w:szCs w:val="28"/>
        </w:rPr>
        <w:t xml:space="preserve">имущественных отношений </w:t>
      </w:r>
      <w:bookmarkStart w:id="0" w:name="_GoBack"/>
      <w:bookmarkEnd w:id="0"/>
      <w:r w:rsidRPr="004069A8">
        <w:rPr>
          <w:rFonts w:ascii="Times New Roman" w:hAnsi="Times New Roman" w:cs="Times New Roman"/>
          <w:b/>
          <w:sz w:val="28"/>
          <w:szCs w:val="28"/>
        </w:rPr>
        <w:t xml:space="preserve">Самарской области о внесении изменений </w:t>
      </w:r>
      <w:r w:rsidR="004069A8" w:rsidRPr="004069A8">
        <w:rPr>
          <w:rFonts w:ascii="Times New Roman" w:hAnsi="Times New Roman" w:cs="Times New Roman"/>
          <w:b/>
          <w:sz w:val="28"/>
          <w:szCs w:val="28"/>
        </w:rPr>
        <w:t>в приказ министерства имущественных отношений Самарской области от 20.04.2017 № 500 «Об утверждении схемы размещения рекламных конструкций на территории городского округа Тольятти Самарской области».</w:t>
      </w:r>
    </w:p>
    <w:p w:rsidR="00396058" w:rsidRDefault="00A83D75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250339">
        <w:rPr>
          <w:rFonts w:ascii="Times New Roman" w:hAnsi="Times New Roman" w:cs="Times New Roman"/>
          <w:sz w:val="28"/>
          <w:szCs w:val="28"/>
        </w:rPr>
        <w:t xml:space="preserve">В составе Адресной программы входит </w:t>
      </w:r>
      <w:r w:rsidR="00250339" w:rsidRPr="00250339">
        <w:rPr>
          <w:rFonts w:ascii="Times New Roman" w:hAnsi="Times New Roman" w:cs="Times New Roman"/>
          <w:b/>
          <w:sz w:val="28"/>
          <w:szCs w:val="28"/>
        </w:rPr>
        <w:t>24</w:t>
      </w:r>
      <w:r w:rsidR="00250339">
        <w:rPr>
          <w:rFonts w:ascii="Times New Roman" w:hAnsi="Times New Roman" w:cs="Times New Roman"/>
          <w:sz w:val="28"/>
          <w:szCs w:val="28"/>
        </w:rPr>
        <w:t xml:space="preserve"> места размещения рекламных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 (пункты </w:t>
      </w:r>
      <w:r w:rsidRPr="00A83D75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301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795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798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808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809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810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847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850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851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852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853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854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936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937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938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939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971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972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973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974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975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sz w:val="28"/>
          <w:szCs w:val="28"/>
        </w:rPr>
        <w:t>1548</w:t>
      </w:r>
      <w:r>
        <w:rPr>
          <w:rFonts w:ascii="Times New Roman" w:hAnsi="Times New Roman" w:cs="Times New Roman"/>
          <w:sz w:val="28"/>
          <w:szCs w:val="28"/>
        </w:rPr>
        <w:t>)</w:t>
      </w:r>
      <w:r w:rsidR="00250339">
        <w:rPr>
          <w:rFonts w:ascii="Times New Roman" w:hAnsi="Times New Roman" w:cs="Times New Roman"/>
          <w:sz w:val="28"/>
          <w:szCs w:val="28"/>
        </w:rPr>
        <w:t>, для которых указано, что с</w:t>
      </w:r>
      <w:r w:rsidR="00250339" w:rsidRPr="00250339">
        <w:rPr>
          <w:rFonts w:ascii="Times New Roman" w:hAnsi="Times New Roman" w:cs="Times New Roman"/>
          <w:sz w:val="28"/>
          <w:szCs w:val="28"/>
        </w:rPr>
        <w:t>обственник</w:t>
      </w:r>
      <w:r w:rsidR="00250339">
        <w:rPr>
          <w:rFonts w:ascii="Times New Roman" w:hAnsi="Times New Roman" w:cs="Times New Roman"/>
          <w:sz w:val="28"/>
          <w:szCs w:val="28"/>
        </w:rPr>
        <w:t>ом</w:t>
      </w:r>
      <w:r w:rsidR="00250339" w:rsidRPr="00250339">
        <w:rPr>
          <w:rFonts w:ascii="Times New Roman" w:hAnsi="Times New Roman" w:cs="Times New Roman"/>
          <w:sz w:val="28"/>
          <w:szCs w:val="28"/>
        </w:rPr>
        <w:t xml:space="preserve"> или законны</w:t>
      </w:r>
      <w:r w:rsidR="00250339">
        <w:rPr>
          <w:rFonts w:ascii="Times New Roman" w:hAnsi="Times New Roman" w:cs="Times New Roman"/>
          <w:sz w:val="28"/>
          <w:szCs w:val="28"/>
        </w:rPr>
        <w:t>м</w:t>
      </w:r>
      <w:r w:rsidR="00250339" w:rsidRPr="00250339">
        <w:rPr>
          <w:rFonts w:ascii="Times New Roman" w:hAnsi="Times New Roman" w:cs="Times New Roman"/>
          <w:sz w:val="28"/>
          <w:szCs w:val="28"/>
        </w:rPr>
        <w:t xml:space="preserve"> владел</w:t>
      </w:r>
      <w:r w:rsidR="00250339">
        <w:rPr>
          <w:rFonts w:ascii="Times New Roman" w:hAnsi="Times New Roman" w:cs="Times New Roman"/>
          <w:sz w:val="28"/>
          <w:szCs w:val="28"/>
        </w:rPr>
        <w:t>ь</w:t>
      </w:r>
      <w:r w:rsidR="00250339" w:rsidRPr="00250339">
        <w:rPr>
          <w:rFonts w:ascii="Times New Roman" w:hAnsi="Times New Roman" w:cs="Times New Roman"/>
          <w:sz w:val="28"/>
          <w:szCs w:val="28"/>
        </w:rPr>
        <w:t>ц</w:t>
      </w:r>
      <w:r w:rsidR="00250339">
        <w:rPr>
          <w:rFonts w:ascii="Times New Roman" w:hAnsi="Times New Roman" w:cs="Times New Roman"/>
          <w:sz w:val="28"/>
          <w:szCs w:val="28"/>
        </w:rPr>
        <w:t>ем</w:t>
      </w:r>
      <w:r w:rsidR="00250339" w:rsidRPr="00250339">
        <w:rPr>
          <w:rFonts w:ascii="Times New Roman" w:hAnsi="Times New Roman" w:cs="Times New Roman"/>
          <w:sz w:val="28"/>
          <w:szCs w:val="28"/>
        </w:rPr>
        <w:t xml:space="preserve"> имущества, к которому присоединяется рекламная </w:t>
      </w:r>
      <w:proofErr w:type="gramStart"/>
      <w:r w:rsidR="00250339" w:rsidRPr="00250339">
        <w:rPr>
          <w:rFonts w:ascii="Times New Roman" w:hAnsi="Times New Roman" w:cs="Times New Roman"/>
          <w:sz w:val="28"/>
          <w:szCs w:val="28"/>
        </w:rPr>
        <w:t>конструкция</w:t>
      </w:r>
      <w:proofErr w:type="gramEnd"/>
      <w:r w:rsidR="00250339">
        <w:rPr>
          <w:rFonts w:ascii="Times New Roman" w:hAnsi="Times New Roman" w:cs="Times New Roman"/>
          <w:sz w:val="28"/>
          <w:szCs w:val="28"/>
        </w:rPr>
        <w:t xml:space="preserve"> является «</w:t>
      </w:r>
      <w:r w:rsidR="00250339" w:rsidRPr="00250339">
        <w:rPr>
          <w:rFonts w:ascii="Times New Roman" w:hAnsi="Times New Roman" w:cs="Times New Roman"/>
          <w:sz w:val="28"/>
          <w:szCs w:val="28"/>
        </w:rPr>
        <w:t xml:space="preserve">Мэрия </w:t>
      </w:r>
      <w:proofErr w:type="spellStart"/>
      <w:r w:rsidR="00250339" w:rsidRPr="00250339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250339" w:rsidRPr="00250339">
        <w:rPr>
          <w:rFonts w:ascii="Times New Roman" w:hAnsi="Times New Roman" w:cs="Times New Roman"/>
          <w:sz w:val="28"/>
          <w:szCs w:val="28"/>
        </w:rPr>
        <w:t xml:space="preserve">. </w:t>
      </w:r>
      <w:r w:rsidR="00250339" w:rsidRPr="00250339">
        <w:rPr>
          <w:rFonts w:ascii="Times New Roman" w:hAnsi="Times New Roman" w:cs="Times New Roman"/>
          <w:sz w:val="28"/>
          <w:szCs w:val="28"/>
        </w:rPr>
        <w:lastRenderedPageBreak/>
        <w:t>Тольятти</w:t>
      </w:r>
      <w:r w:rsidR="00250339">
        <w:rPr>
          <w:rFonts w:ascii="Times New Roman" w:hAnsi="Times New Roman" w:cs="Times New Roman"/>
          <w:sz w:val="28"/>
          <w:szCs w:val="28"/>
        </w:rPr>
        <w:t>» или «</w:t>
      </w:r>
      <w:r w:rsidR="00250339" w:rsidRPr="00250339">
        <w:rPr>
          <w:rFonts w:ascii="Times New Roman" w:hAnsi="Times New Roman" w:cs="Times New Roman"/>
          <w:sz w:val="28"/>
          <w:szCs w:val="28"/>
        </w:rPr>
        <w:t>Собственность муниципального образования городской округ Тольятти</w:t>
      </w:r>
      <w:r w:rsidR="00250339">
        <w:rPr>
          <w:rFonts w:ascii="Times New Roman" w:hAnsi="Times New Roman" w:cs="Times New Roman"/>
          <w:sz w:val="28"/>
          <w:szCs w:val="28"/>
        </w:rPr>
        <w:t>».</w:t>
      </w:r>
    </w:p>
    <w:p w:rsidR="00AD1F82" w:rsidRDefault="00A83D75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A83D75">
        <w:rPr>
          <w:rFonts w:ascii="Times New Roman" w:hAnsi="Times New Roman" w:cs="Times New Roman"/>
          <w:sz w:val="28"/>
          <w:szCs w:val="28"/>
        </w:rPr>
        <w:t xml:space="preserve">проведение торгов на право заключения договоров на установку и эксплуатацию рекламных конструкций и заключение данных договоров,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A83D75">
        <w:rPr>
          <w:rFonts w:ascii="Times New Roman" w:hAnsi="Times New Roman" w:cs="Times New Roman"/>
          <w:sz w:val="28"/>
          <w:szCs w:val="28"/>
        </w:rPr>
        <w:t xml:space="preserve"> размещени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3D75">
        <w:rPr>
          <w:rFonts w:ascii="Times New Roman" w:hAnsi="Times New Roman" w:cs="Times New Roman"/>
          <w:sz w:val="28"/>
          <w:szCs w:val="28"/>
        </w:rPr>
        <w:t xml:space="preserve"> рекламной конструкции на объектах,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D75">
        <w:rPr>
          <w:rFonts w:ascii="Times New Roman" w:hAnsi="Times New Roman" w:cs="Times New Roman"/>
          <w:b/>
          <w:sz w:val="28"/>
          <w:szCs w:val="28"/>
        </w:rPr>
        <w:t>относится к полномочиям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3D75">
        <w:rPr>
          <w:rFonts w:ascii="Times New Roman" w:hAnsi="Times New Roman" w:cs="Times New Roman"/>
          <w:b/>
          <w:sz w:val="28"/>
          <w:szCs w:val="28"/>
        </w:rPr>
        <w:t>требуются пояснения администрации о предпринимаемых мерах по проведению торгов на право заключения договоров на установку и эксплуатацию рекламных конструкций и заключению данных договоров на указанных местах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08BC" w:rsidRDefault="003908BC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 представленной информации следует, что администрация в 20</w:t>
      </w:r>
      <w:r w:rsidR="00E73AA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не предпринимала попыток, направленных на включение в Схему размещения рекламных конструкций новых мест размещения рекламных конструкций, связанных с объектами, находящимися в муниципальной собственности, что могло способствовать увеличению дохода города.</w:t>
      </w:r>
      <w:proofErr w:type="gramEnd"/>
    </w:p>
    <w:p w:rsidR="003908BC" w:rsidRDefault="00E73AA4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08BC">
        <w:rPr>
          <w:rFonts w:ascii="Times New Roman" w:hAnsi="Times New Roman" w:cs="Times New Roman"/>
          <w:sz w:val="28"/>
          <w:szCs w:val="28"/>
        </w:rPr>
        <w:t>.</w:t>
      </w:r>
      <w:r w:rsidR="003908BC">
        <w:rPr>
          <w:rFonts w:ascii="Times New Roman" w:hAnsi="Times New Roman" w:cs="Times New Roman"/>
          <w:sz w:val="28"/>
          <w:szCs w:val="28"/>
        </w:rPr>
        <w:tab/>
        <w:t>Администраци</w:t>
      </w:r>
      <w:r w:rsidR="00463699">
        <w:rPr>
          <w:rFonts w:ascii="Times New Roman" w:hAnsi="Times New Roman" w:cs="Times New Roman"/>
          <w:sz w:val="28"/>
          <w:szCs w:val="28"/>
        </w:rPr>
        <w:t>ей</w:t>
      </w:r>
      <w:r w:rsidR="003908BC">
        <w:rPr>
          <w:rFonts w:ascii="Times New Roman" w:hAnsi="Times New Roman" w:cs="Times New Roman"/>
          <w:sz w:val="28"/>
          <w:szCs w:val="28"/>
        </w:rPr>
        <w:t xml:space="preserve"> разработа</w:t>
      </w:r>
      <w:r w:rsidR="00463699">
        <w:rPr>
          <w:rFonts w:ascii="Times New Roman" w:hAnsi="Times New Roman" w:cs="Times New Roman"/>
          <w:sz w:val="28"/>
          <w:szCs w:val="28"/>
        </w:rPr>
        <w:t>ны</w:t>
      </w:r>
      <w:r w:rsidR="003908BC">
        <w:rPr>
          <w:rFonts w:ascii="Times New Roman" w:hAnsi="Times New Roman" w:cs="Times New Roman"/>
          <w:sz w:val="28"/>
          <w:szCs w:val="28"/>
        </w:rPr>
        <w:t xml:space="preserve"> два картографических ресурса</w:t>
      </w:r>
      <w:r w:rsidR="0046369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22C54" w:rsidRDefault="00222C54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22C54">
        <w:rPr>
          <w:rFonts w:ascii="Times New Roman" w:hAnsi="Times New Roman" w:cs="Times New Roman"/>
          <w:sz w:val="28"/>
          <w:szCs w:val="28"/>
        </w:rPr>
        <w:t>http://emgis.mfc63.ru/v5/advert.aspx#</w:t>
      </w:r>
      <w:r>
        <w:rPr>
          <w:rFonts w:ascii="Times New Roman" w:hAnsi="Times New Roman" w:cs="Times New Roman"/>
          <w:sz w:val="28"/>
          <w:szCs w:val="28"/>
        </w:rPr>
        <w:t xml:space="preserve"> (разработан МАУ «МФЦ»);</w:t>
      </w:r>
    </w:p>
    <w:p w:rsidR="00222C54" w:rsidRDefault="00222C54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22C54">
        <w:rPr>
          <w:rFonts w:ascii="Times New Roman" w:hAnsi="Times New Roman" w:cs="Times New Roman"/>
          <w:sz w:val="28"/>
          <w:szCs w:val="28"/>
        </w:rPr>
        <w:t>https://goo.gl/uxCc4Q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департаментом финансов).</w:t>
      </w:r>
    </w:p>
    <w:p w:rsidR="00222C54" w:rsidRDefault="00974E23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Оба ресурса не актуализируются и не имеют инструментария поиска, фильтрации, суммирования числовых показателей.</w:t>
      </w:r>
    </w:p>
    <w:p w:rsidR="00974E23" w:rsidRPr="00974E23" w:rsidRDefault="00974E23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E23">
        <w:rPr>
          <w:rFonts w:ascii="Times New Roman" w:hAnsi="Times New Roman" w:cs="Times New Roman"/>
          <w:b/>
          <w:sz w:val="28"/>
          <w:szCs w:val="28"/>
        </w:rPr>
        <w:t xml:space="preserve">Предлагается продолжить работу в этом направлении и сделать </w:t>
      </w:r>
      <w:r w:rsidR="0080474B">
        <w:rPr>
          <w:rFonts w:ascii="Times New Roman" w:hAnsi="Times New Roman" w:cs="Times New Roman"/>
          <w:b/>
          <w:sz w:val="28"/>
          <w:szCs w:val="28"/>
        </w:rPr>
        <w:t xml:space="preserve">один из этих </w:t>
      </w:r>
      <w:r w:rsidRPr="00974E23">
        <w:rPr>
          <w:rFonts w:ascii="Times New Roman" w:hAnsi="Times New Roman" w:cs="Times New Roman"/>
          <w:b/>
          <w:sz w:val="28"/>
          <w:szCs w:val="28"/>
        </w:rPr>
        <w:t>ресурс</w:t>
      </w:r>
      <w:r w:rsidR="0080474B">
        <w:rPr>
          <w:rFonts w:ascii="Times New Roman" w:hAnsi="Times New Roman" w:cs="Times New Roman"/>
          <w:b/>
          <w:sz w:val="28"/>
          <w:szCs w:val="28"/>
        </w:rPr>
        <w:t>ов</w:t>
      </w:r>
      <w:r w:rsidRPr="00974E23">
        <w:rPr>
          <w:rFonts w:ascii="Times New Roman" w:hAnsi="Times New Roman" w:cs="Times New Roman"/>
          <w:b/>
          <w:sz w:val="28"/>
          <w:szCs w:val="28"/>
        </w:rPr>
        <w:t xml:space="preserve"> доступным жителям города, чтобы они могли оперативно сигнализировать о фактах выявленных незаконных рекламных конструкциях.</w:t>
      </w:r>
    </w:p>
    <w:p w:rsidR="004441CF" w:rsidRDefault="00E73AA4" w:rsidP="00E73AA4">
      <w:pPr>
        <w:tabs>
          <w:tab w:val="left" w:pos="993"/>
        </w:tabs>
        <w:autoSpaceDE w:val="0"/>
        <w:autoSpaceDN w:val="0"/>
        <w:adjustRightInd w:val="0"/>
        <w:spacing w:after="8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41CF">
        <w:rPr>
          <w:rFonts w:ascii="Times New Roman" w:hAnsi="Times New Roman" w:cs="Times New Roman"/>
          <w:sz w:val="28"/>
          <w:szCs w:val="28"/>
        </w:rPr>
        <w:t>.</w:t>
      </w:r>
      <w:r w:rsidR="004441CF">
        <w:rPr>
          <w:rFonts w:ascii="Times New Roman" w:hAnsi="Times New Roman" w:cs="Times New Roman"/>
          <w:sz w:val="28"/>
          <w:szCs w:val="28"/>
        </w:rPr>
        <w:tab/>
        <w:t>Администрация не сообщает о своем участии в выявлении незаконных рекламных конструкций.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AA4">
        <w:rPr>
          <w:rFonts w:ascii="Times New Roman" w:hAnsi="Times New Roman" w:cs="Times New Roman"/>
          <w:b/>
          <w:sz w:val="28"/>
          <w:szCs w:val="28"/>
        </w:rPr>
        <w:t>Требуются пояснения.</w:t>
      </w:r>
    </w:p>
    <w:p w:rsidR="00344B19" w:rsidRPr="0078680D" w:rsidRDefault="00B071AD" w:rsidP="00F74033">
      <w:pPr>
        <w:spacing w:before="240" w:after="80" w:line="281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344B19" w:rsidRPr="0078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ывод: </w:t>
      </w:r>
      <w:r w:rsidR="00883C6E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  <w:r w:rsidR="008C3C9F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r w:rsidR="00883C6E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городского округа Тольятти о ходе реализации Федерального закона от 13.03.2006 № 38-ФЗ «О рекламе»</w:t>
      </w:r>
      <w:r w:rsidR="008C3C9F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3C6E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территории городского округа Тольятт</w:t>
      </w:r>
      <w:r w:rsidR="00883C6E" w:rsidRPr="00E73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439A8" w:rsidRPr="00E73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73AA4" w:rsidRPr="00E73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2020 год </w:t>
      </w:r>
      <w:r w:rsidR="00344B19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быть рассмотрен</w:t>
      </w:r>
      <w:r w:rsidR="00883C6E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4B19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заседании Думы г</w:t>
      </w:r>
      <w:r w:rsidR="00CA443E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ородского округа </w:t>
      </w:r>
      <w:r w:rsidR="00344B19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Тольятти</w:t>
      </w:r>
      <w:r w:rsidR="00A10D1D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учетом настоящего заключения</w:t>
      </w:r>
      <w:r w:rsidR="00344B19" w:rsidRPr="00786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C3C9F" w:rsidRDefault="008C3C9F" w:rsidP="00741BE6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0474B" w:rsidRDefault="0080474B" w:rsidP="00741BE6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0474B" w:rsidRDefault="0080474B" w:rsidP="00741BE6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614DF" w:rsidRDefault="001E6E23" w:rsidP="00DF3C54">
      <w:pPr>
        <w:tabs>
          <w:tab w:val="right" w:pos="935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E6E23"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Pr="001E6E23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Д.В. Замчевский</w:t>
      </w:r>
    </w:p>
    <w:p w:rsidR="0078680D" w:rsidRDefault="0078680D" w:rsidP="00C34E5F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9A8" w:rsidRDefault="002439A8" w:rsidP="00C34E5F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AA4" w:rsidRDefault="00E73AA4" w:rsidP="00C34E5F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BE6" w:rsidRPr="00741BE6" w:rsidRDefault="0080474B" w:rsidP="00C34E5F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 280567</w:t>
      </w:r>
    </w:p>
    <w:sectPr w:rsidR="00741BE6" w:rsidRPr="00741BE6" w:rsidSect="00911777">
      <w:headerReference w:type="default" r:id="rId8"/>
      <w:footerReference w:type="default" r:id="rId9"/>
      <w:pgSz w:w="11906" w:h="16838" w:code="9"/>
      <w:pgMar w:top="1134" w:right="851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D1" w:rsidRDefault="00516DD1" w:rsidP="00632FBD">
      <w:pPr>
        <w:spacing w:after="0" w:line="240" w:lineRule="auto"/>
      </w:pPr>
      <w:r>
        <w:separator/>
      </w:r>
    </w:p>
  </w:endnote>
  <w:endnote w:type="continuationSeparator" w:id="0">
    <w:p w:rsidR="00516DD1" w:rsidRDefault="00516DD1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News701 B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DD1" w:rsidRPr="00DC24FF" w:rsidRDefault="00516DD1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D1" w:rsidRDefault="00516DD1" w:rsidP="00632FBD">
      <w:pPr>
        <w:spacing w:after="0" w:line="240" w:lineRule="auto"/>
      </w:pPr>
      <w:r>
        <w:separator/>
      </w:r>
    </w:p>
  </w:footnote>
  <w:footnote w:type="continuationSeparator" w:id="0">
    <w:p w:rsidR="00516DD1" w:rsidRDefault="00516DD1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6DD1" w:rsidRPr="00911777" w:rsidRDefault="00516DD1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3F9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5305"/>
    <w:rsid w:val="0000552A"/>
    <w:rsid w:val="00005B2A"/>
    <w:rsid w:val="0000683B"/>
    <w:rsid w:val="00014FD1"/>
    <w:rsid w:val="00021983"/>
    <w:rsid w:val="00030245"/>
    <w:rsid w:val="00033718"/>
    <w:rsid w:val="00033D8B"/>
    <w:rsid w:val="00040C6E"/>
    <w:rsid w:val="00041C43"/>
    <w:rsid w:val="00066732"/>
    <w:rsid w:val="000706A0"/>
    <w:rsid w:val="00073FF5"/>
    <w:rsid w:val="00077B87"/>
    <w:rsid w:val="000851D2"/>
    <w:rsid w:val="00094382"/>
    <w:rsid w:val="00094A75"/>
    <w:rsid w:val="0009504A"/>
    <w:rsid w:val="000A05D1"/>
    <w:rsid w:val="000A5707"/>
    <w:rsid w:val="000A774A"/>
    <w:rsid w:val="000B36FE"/>
    <w:rsid w:val="000B5306"/>
    <w:rsid w:val="000B5E98"/>
    <w:rsid w:val="000C22E0"/>
    <w:rsid w:val="000C26DA"/>
    <w:rsid w:val="000C3CF5"/>
    <w:rsid w:val="000C58A8"/>
    <w:rsid w:val="000D0047"/>
    <w:rsid w:val="000D33F3"/>
    <w:rsid w:val="000D3B97"/>
    <w:rsid w:val="000D6D7E"/>
    <w:rsid w:val="000E0711"/>
    <w:rsid w:val="000F1899"/>
    <w:rsid w:val="000F357F"/>
    <w:rsid w:val="00103A0D"/>
    <w:rsid w:val="00104DD0"/>
    <w:rsid w:val="001116BE"/>
    <w:rsid w:val="00117276"/>
    <w:rsid w:val="00123075"/>
    <w:rsid w:val="0012336B"/>
    <w:rsid w:val="00125611"/>
    <w:rsid w:val="00126B74"/>
    <w:rsid w:val="00127AF3"/>
    <w:rsid w:val="00130F92"/>
    <w:rsid w:val="00133A91"/>
    <w:rsid w:val="00135AE9"/>
    <w:rsid w:val="00141248"/>
    <w:rsid w:val="00142831"/>
    <w:rsid w:val="0014606B"/>
    <w:rsid w:val="00147019"/>
    <w:rsid w:val="001516F5"/>
    <w:rsid w:val="0015567C"/>
    <w:rsid w:val="001559D4"/>
    <w:rsid w:val="00157455"/>
    <w:rsid w:val="0016230B"/>
    <w:rsid w:val="00163CD5"/>
    <w:rsid w:val="0016429C"/>
    <w:rsid w:val="001645F3"/>
    <w:rsid w:val="00165656"/>
    <w:rsid w:val="001656D3"/>
    <w:rsid w:val="00167A81"/>
    <w:rsid w:val="001837B4"/>
    <w:rsid w:val="0019254A"/>
    <w:rsid w:val="00194164"/>
    <w:rsid w:val="00195B69"/>
    <w:rsid w:val="0019785C"/>
    <w:rsid w:val="001A6C76"/>
    <w:rsid w:val="001B67F9"/>
    <w:rsid w:val="001B75CC"/>
    <w:rsid w:val="001B76DD"/>
    <w:rsid w:val="001B7F3E"/>
    <w:rsid w:val="001C1397"/>
    <w:rsid w:val="001C1769"/>
    <w:rsid w:val="001C63DE"/>
    <w:rsid w:val="001C6A88"/>
    <w:rsid w:val="001D2E97"/>
    <w:rsid w:val="001D449E"/>
    <w:rsid w:val="001D7556"/>
    <w:rsid w:val="001E52FE"/>
    <w:rsid w:val="001E6E23"/>
    <w:rsid w:val="001F1DA0"/>
    <w:rsid w:val="001F29DA"/>
    <w:rsid w:val="001F4341"/>
    <w:rsid w:val="001F4F01"/>
    <w:rsid w:val="001F6CB7"/>
    <w:rsid w:val="00201ECC"/>
    <w:rsid w:val="00202A45"/>
    <w:rsid w:val="00203756"/>
    <w:rsid w:val="00206C72"/>
    <w:rsid w:val="00212F2B"/>
    <w:rsid w:val="00213014"/>
    <w:rsid w:val="00214E41"/>
    <w:rsid w:val="002178C3"/>
    <w:rsid w:val="00222C54"/>
    <w:rsid w:val="00222C6B"/>
    <w:rsid w:val="002254A9"/>
    <w:rsid w:val="0024046E"/>
    <w:rsid w:val="00242502"/>
    <w:rsid w:val="002439A8"/>
    <w:rsid w:val="00244A23"/>
    <w:rsid w:val="0024666A"/>
    <w:rsid w:val="00247205"/>
    <w:rsid w:val="00250339"/>
    <w:rsid w:val="00252118"/>
    <w:rsid w:val="00252A24"/>
    <w:rsid w:val="00253CBB"/>
    <w:rsid w:val="00254FD6"/>
    <w:rsid w:val="00257F71"/>
    <w:rsid w:val="00260332"/>
    <w:rsid w:val="00261720"/>
    <w:rsid w:val="00261BA5"/>
    <w:rsid w:val="002645BE"/>
    <w:rsid w:val="002647E5"/>
    <w:rsid w:val="00264853"/>
    <w:rsid w:val="00271882"/>
    <w:rsid w:val="00273980"/>
    <w:rsid w:val="00282E6C"/>
    <w:rsid w:val="0029568F"/>
    <w:rsid w:val="00297C95"/>
    <w:rsid w:val="002A006B"/>
    <w:rsid w:val="002A12ED"/>
    <w:rsid w:val="002B1DA7"/>
    <w:rsid w:val="002B74FA"/>
    <w:rsid w:val="002B7CA2"/>
    <w:rsid w:val="002C26FE"/>
    <w:rsid w:val="002C4995"/>
    <w:rsid w:val="002C4E7E"/>
    <w:rsid w:val="002C6AA8"/>
    <w:rsid w:val="002C7078"/>
    <w:rsid w:val="002D0827"/>
    <w:rsid w:val="002D5514"/>
    <w:rsid w:val="002D676A"/>
    <w:rsid w:val="002E2E27"/>
    <w:rsid w:val="002E490C"/>
    <w:rsid w:val="00302EA0"/>
    <w:rsid w:val="00305AE7"/>
    <w:rsid w:val="003101D6"/>
    <w:rsid w:val="00313F79"/>
    <w:rsid w:val="003149D9"/>
    <w:rsid w:val="00322D95"/>
    <w:rsid w:val="00327321"/>
    <w:rsid w:val="00327E28"/>
    <w:rsid w:val="0033546B"/>
    <w:rsid w:val="00344B19"/>
    <w:rsid w:val="00346C81"/>
    <w:rsid w:val="00347DDE"/>
    <w:rsid w:val="00356B92"/>
    <w:rsid w:val="00360801"/>
    <w:rsid w:val="003641CC"/>
    <w:rsid w:val="00364F5A"/>
    <w:rsid w:val="0036560A"/>
    <w:rsid w:val="00374FC5"/>
    <w:rsid w:val="003770AD"/>
    <w:rsid w:val="00386D9C"/>
    <w:rsid w:val="00387F83"/>
    <w:rsid w:val="003908BC"/>
    <w:rsid w:val="00391A4E"/>
    <w:rsid w:val="00394CB2"/>
    <w:rsid w:val="00396058"/>
    <w:rsid w:val="00396354"/>
    <w:rsid w:val="00396524"/>
    <w:rsid w:val="003A0152"/>
    <w:rsid w:val="003A0FA0"/>
    <w:rsid w:val="003A32AB"/>
    <w:rsid w:val="003A5A3F"/>
    <w:rsid w:val="003B0353"/>
    <w:rsid w:val="003B075B"/>
    <w:rsid w:val="003B1024"/>
    <w:rsid w:val="003C137D"/>
    <w:rsid w:val="003C1C10"/>
    <w:rsid w:val="003C4D77"/>
    <w:rsid w:val="003D295E"/>
    <w:rsid w:val="003E3162"/>
    <w:rsid w:val="003E42B8"/>
    <w:rsid w:val="003E5280"/>
    <w:rsid w:val="003E72C0"/>
    <w:rsid w:val="003F287C"/>
    <w:rsid w:val="003F58DF"/>
    <w:rsid w:val="003F62EA"/>
    <w:rsid w:val="003F7EF2"/>
    <w:rsid w:val="00403ED2"/>
    <w:rsid w:val="004069A8"/>
    <w:rsid w:val="004113B1"/>
    <w:rsid w:val="0041208D"/>
    <w:rsid w:val="00414BD1"/>
    <w:rsid w:val="0042631E"/>
    <w:rsid w:val="004304D9"/>
    <w:rsid w:val="0043360D"/>
    <w:rsid w:val="00436708"/>
    <w:rsid w:val="0044288D"/>
    <w:rsid w:val="004441CF"/>
    <w:rsid w:val="00446834"/>
    <w:rsid w:val="00450BB8"/>
    <w:rsid w:val="00454E96"/>
    <w:rsid w:val="004575DE"/>
    <w:rsid w:val="00461F14"/>
    <w:rsid w:val="00462231"/>
    <w:rsid w:val="00463699"/>
    <w:rsid w:val="00475A49"/>
    <w:rsid w:val="0048544F"/>
    <w:rsid w:val="00487F41"/>
    <w:rsid w:val="0049014A"/>
    <w:rsid w:val="004A078D"/>
    <w:rsid w:val="004A082C"/>
    <w:rsid w:val="004A4A25"/>
    <w:rsid w:val="004B07F6"/>
    <w:rsid w:val="004B4621"/>
    <w:rsid w:val="004B4EE5"/>
    <w:rsid w:val="004B5A35"/>
    <w:rsid w:val="004B6453"/>
    <w:rsid w:val="004B74A8"/>
    <w:rsid w:val="004C02FA"/>
    <w:rsid w:val="004C7FD6"/>
    <w:rsid w:val="004D08FB"/>
    <w:rsid w:val="004D0E2D"/>
    <w:rsid w:val="004D4F85"/>
    <w:rsid w:val="004E2A51"/>
    <w:rsid w:val="004E48BA"/>
    <w:rsid w:val="004E7A7A"/>
    <w:rsid w:val="004F2941"/>
    <w:rsid w:val="00501204"/>
    <w:rsid w:val="005051EF"/>
    <w:rsid w:val="00505D32"/>
    <w:rsid w:val="005071F5"/>
    <w:rsid w:val="00510090"/>
    <w:rsid w:val="00511EF0"/>
    <w:rsid w:val="00512295"/>
    <w:rsid w:val="00512672"/>
    <w:rsid w:val="00516DD1"/>
    <w:rsid w:val="005170B1"/>
    <w:rsid w:val="00517DD2"/>
    <w:rsid w:val="00520422"/>
    <w:rsid w:val="005208CD"/>
    <w:rsid w:val="00521EC6"/>
    <w:rsid w:val="0052349B"/>
    <w:rsid w:val="00525F22"/>
    <w:rsid w:val="00537092"/>
    <w:rsid w:val="00540D71"/>
    <w:rsid w:val="00541A69"/>
    <w:rsid w:val="0054368E"/>
    <w:rsid w:val="0054693E"/>
    <w:rsid w:val="00553147"/>
    <w:rsid w:val="00565E08"/>
    <w:rsid w:val="00566885"/>
    <w:rsid w:val="005754B5"/>
    <w:rsid w:val="00576CB9"/>
    <w:rsid w:val="005801EE"/>
    <w:rsid w:val="0058149A"/>
    <w:rsid w:val="00583F0B"/>
    <w:rsid w:val="00592194"/>
    <w:rsid w:val="0059371D"/>
    <w:rsid w:val="00594367"/>
    <w:rsid w:val="005947A3"/>
    <w:rsid w:val="005952A8"/>
    <w:rsid w:val="0059580D"/>
    <w:rsid w:val="00597E5A"/>
    <w:rsid w:val="005A0619"/>
    <w:rsid w:val="005A098D"/>
    <w:rsid w:val="005A113E"/>
    <w:rsid w:val="005A23A8"/>
    <w:rsid w:val="005A6DF7"/>
    <w:rsid w:val="005A7D39"/>
    <w:rsid w:val="005B0C89"/>
    <w:rsid w:val="005B183B"/>
    <w:rsid w:val="005B5534"/>
    <w:rsid w:val="005C0B17"/>
    <w:rsid w:val="005C17A8"/>
    <w:rsid w:val="005C65E5"/>
    <w:rsid w:val="005D319B"/>
    <w:rsid w:val="005D7A45"/>
    <w:rsid w:val="005E4488"/>
    <w:rsid w:val="005E48D5"/>
    <w:rsid w:val="005F13F1"/>
    <w:rsid w:val="005F159B"/>
    <w:rsid w:val="005F7935"/>
    <w:rsid w:val="00600405"/>
    <w:rsid w:val="00602BD6"/>
    <w:rsid w:val="00602D0B"/>
    <w:rsid w:val="00604751"/>
    <w:rsid w:val="00615FE8"/>
    <w:rsid w:val="00620B5E"/>
    <w:rsid w:val="00623EE3"/>
    <w:rsid w:val="00624694"/>
    <w:rsid w:val="00631A1F"/>
    <w:rsid w:val="00632442"/>
    <w:rsid w:val="00632FBD"/>
    <w:rsid w:val="00645D38"/>
    <w:rsid w:val="00655E02"/>
    <w:rsid w:val="00656DCD"/>
    <w:rsid w:val="00663EA9"/>
    <w:rsid w:val="00665163"/>
    <w:rsid w:val="0066682C"/>
    <w:rsid w:val="006701BF"/>
    <w:rsid w:val="00672276"/>
    <w:rsid w:val="00672BC7"/>
    <w:rsid w:val="00680B7C"/>
    <w:rsid w:val="00681869"/>
    <w:rsid w:val="00684999"/>
    <w:rsid w:val="00691198"/>
    <w:rsid w:val="006933D6"/>
    <w:rsid w:val="006936AA"/>
    <w:rsid w:val="00694735"/>
    <w:rsid w:val="0069570E"/>
    <w:rsid w:val="006965A5"/>
    <w:rsid w:val="00697D36"/>
    <w:rsid w:val="006B43CB"/>
    <w:rsid w:val="006B4DC7"/>
    <w:rsid w:val="006B6029"/>
    <w:rsid w:val="006C6AE0"/>
    <w:rsid w:val="006D732D"/>
    <w:rsid w:val="006D7A58"/>
    <w:rsid w:val="006E3430"/>
    <w:rsid w:val="006E6900"/>
    <w:rsid w:val="006E6B20"/>
    <w:rsid w:val="006F31AB"/>
    <w:rsid w:val="006F4914"/>
    <w:rsid w:val="006F74BF"/>
    <w:rsid w:val="00705700"/>
    <w:rsid w:val="007064D6"/>
    <w:rsid w:val="00706781"/>
    <w:rsid w:val="00711B26"/>
    <w:rsid w:val="00723EA9"/>
    <w:rsid w:val="0072666F"/>
    <w:rsid w:val="00727377"/>
    <w:rsid w:val="007279F7"/>
    <w:rsid w:val="00731AE7"/>
    <w:rsid w:val="00741972"/>
    <w:rsid w:val="00741BE6"/>
    <w:rsid w:val="00745C41"/>
    <w:rsid w:val="007475F3"/>
    <w:rsid w:val="00751D93"/>
    <w:rsid w:val="007532A3"/>
    <w:rsid w:val="00753DDE"/>
    <w:rsid w:val="00755650"/>
    <w:rsid w:val="00765CE3"/>
    <w:rsid w:val="007661CA"/>
    <w:rsid w:val="00767EF3"/>
    <w:rsid w:val="00770301"/>
    <w:rsid w:val="00777FF9"/>
    <w:rsid w:val="007807C0"/>
    <w:rsid w:val="00781670"/>
    <w:rsid w:val="00783716"/>
    <w:rsid w:val="0078680D"/>
    <w:rsid w:val="0079164E"/>
    <w:rsid w:val="00797D52"/>
    <w:rsid w:val="007A1F2E"/>
    <w:rsid w:val="007A1F5C"/>
    <w:rsid w:val="007A3662"/>
    <w:rsid w:val="007A638C"/>
    <w:rsid w:val="007B32CF"/>
    <w:rsid w:val="007B51AB"/>
    <w:rsid w:val="007B69DC"/>
    <w:rsid w:val="007B7083"/>
    <w:rsid w:val="007C2474"/>
    <w:rsid w:val="007C5EC8"/>
    <w:rsid w:val="007D256F"/>
    <w:rsid w:val="007D2C74"/>
    <w:rsid w:val="007E6B6E"/>
    <w:rsid w:val="007E7F2C"/>
    <w:rsid w:val="007F4401"/>
    <w:rsid w:val="00800556"/>
    <w:rsid w:val="008007F5"/>
    <w:rsid w:val="0080474B"/>
    <w:rsid w:val="0081323D"/>
    <w:rsid w:val="008139CC"/>
    <w:rsid w:val="008214B6"/>
    <w:rsid w:val="00822CC8"/>
    <w:rsid w:val="00825A31"/>
    <w:rsid w:val="00834F8F"/>
    <w:rsid w:val="008364AD"/>
    <w:rsid w:val="00840613"/>
    <w:rsid w:val="008459A6"/>
    <w:rsid w:val="00851266"/>
    <w:rsid w:val="00854D54"/>
    <w:rsid w:val="00865CB6"/>
    <w:rsid w:val="008702E1"/>
    <w:rsid w:val="008731AC"/>
    <w:rsid w:val="00873952"/>
    <w:rsid w:val="008749FA"/>
    <w:rsid w:val="00874A4A"/>
    <w:rsid w:val="008831F8"/>
    <w:rsid w:val="00883C6E"/>
    <w:rsid w:val="00883DF9"/>
    <w:rsid w:val="008858EB"/>
    <w:rsid w:val="00885D4A"/>
    <w:rsid w:val="00894A10"/>
    <w:rsid w:val="008A2266"/>
    <w:rsid w:val="008A47FA"/>
    <w:rsid w:val="008B207D"/>
    <w:rsid w:val="008B319B"/>
    <w:rsid w:val="008C3C9F"/>
    <w:rsid w:val="008C4E0C"/>
    <w:rsid w:val="008C7954"/>
    <w:rsid w:val="008C7B58"/>
    <w:rsid w:val="008D1CCD"/>
    <w:rsid w:val="008E4F7C"/>
    <w:rsid w:val="008E5A8E"/>
    <w:rsid w:val="008F2AA5"/>
    <w:rsid w:val="008F6ABF"/>
    <w:rsid w:val="00900744"/>
    <w:rsid w:val="00904FC8"/>
    <w:rsid w:val="00911777"/>
    <w:rsid w:val="009130FC"/>
    <w:rsid w:val="009152DE"/>
    <w:rsid w:val="009217D7"/>
    <w:rsid w:val="00924B59"/>
    <w:rsid w:val="00925CA9"/>
    <w:rsid w:val="00926DD4"/>
    <w:rsid w:val="00931A62"/>
    <w:rsid w:val="0093481F"/>
    <w:rsid w:val="00936658"/>
    <w:rsid w:val="009376A0"/>
    <w:rsid w:val="00941DC9"/>
    <w:rsid w:val="00945C5E"/>
    <w:rsid w:val="009475E8"/>
    <w:rsid w:val="00950287"/>
    <w:rsid w:val="009525C5"/>
    <w:rsid w:val="00953501"/>
    <w:rsid w:val="009538E1"/>
    <w:rsid w:val="009547AB"/>
    <w:rsid w:val="00957819"/>
    <w:rsid w:val="00974E23"/>
    <w:rsid w:val="00977046"/>
    <w:rsid w:val="00977A9A"/>
    <w:rsid w:val="00981E6E"/>
    <w:rsid w:val="009826B6"/>
    <w:rsid w:val="00983BCC"/>
    <w:rsid w:val="009910B1"/>
    <w:rsid w:val="009945F0"/>
    <w:rsid w:val="00996271"/>
    <w:rsid w:val="009A0658"/>
    <w:rsid w:val="009A321B"/>
    <w:rsid w:val="009A396A"/>
    <w:rsid w:val="009A3AAF"/>
    <w:rsid w:val="009A3C17"/>
    <w:rsid w:val="009B3DEA"/>
    <w:rsid w:val="009B45B9"/>
    <w:rsid w:val="009B684B"/>
    <w:rsid w:val="009C10A0"/>
    <w:rsid w:val="009C1669"/>
    <w:rsid w:val="009C2361"/>
    <w:rsid w:val="009C5A39"/>
    <w:rsid w:val="009C6B48"/>
    <w:rsid w:val="009D7A11"/>
    <w:rsid w:val="009D7EE1"/>
    <w:rsid w:val="009E075D"/>
    <w:rsid w:val="009E38BB"/>
    <w:rsid w:val="009E6336"/>
    <w:rsid w:val="009F5CA9"/>
    <w:rsid w:val="00A029D7"/>
    <w:rsid w:val="00A053E5"/>
    <w:rsid w:val="00A06E7A"/>
    <w:rsid w:val="00A10C46"/>
    <w:rsid w:val="00A10D1D"/>
    <w:rsid w:val="00A15CDD"/>
    <w:rsid w:val="00A22DD4"/>
    <w:rsid w:val="00A24BAF"/>
    <w:rsid w:val="00A260A4"/>
    <w:rsid w:val="00A3762A"/>
    <w:rsid w:val="00A42485"/>
    <w:rsid w:val="00A43665"/>
    <w:rsid w:val="00A46A85"/>
    <w:rsid w:val="00A530B5"/>
    <w:rsid w:val="00A553D4"/>
    <w:rsid w:val="00A614DF"/>
    <w:rsid w:val="00A70229"/>
    <w:rsid w:val="00A70F5B"/>
    <w:rsid w:val="00A76984"/>
    <w:rsid w:val="00A76E06"/>
    <w:rsid w:val="00A77303"/>
    <w:rsid w:val="00A80E02"/>
    <w:rsid w:val="00A80FE5"/>
    <w:rsid w:val="00A83D75"/>
    <w:rsid w:val="00A842A6"/>
    <w:rsid w:val="00A8524A"/>
    <w:rsid w:val="00A859F9"/>
    <w:rsid w:val="00A9121B"/>
    <w:rsid w:val="00AA1D6A"/>
    <w:rsid w:val="00AA1F24"/>
    <w:rsid w:val="00AA5164"/>
    <w:rsid w:val="00AB56F0"/>
    <w:rsid w:val="00AB701E"/>
    <w:rsid w:val="00AB7190"/>
    <w:rsid w:val="00AD1F82"/>
    <w:rsid w:val="00AD2339"/>
    <w:rsid w:val="00AE09F1"/>
    <w:rsid w:val="00AE0D24"/>
    <w:rsid w:val="00AE3536"/>
    <w:rsid w:val="00AF25D6"/>
    <w:rsid w:val="00AF6749"/>
    <w:rsid w:val="00B06C6F"/>
    <w:rsid w:val="00B071AD"/>
    <w:rsid w:val="00B14C4D"/>
    <w:rsid w:val="00B20F8B"/>
    <w:rsid w:val="00B272C2"/>
    <w:rsid w:val="00B31EF8"/>
    <w:rsid w:val="00B34D4F"/>
    <w:rsid w:val="00B36E72"/>
    <w:rsid w:val="00B40751"/>
    <w:rsid w:val="00B40DF1"/>
    <w:rsid w:val="00B42BF1"/>
    <w:rsid w:val="00B44B83"/>
    <w:rsid w:val="00B4510E"/>
    <w:rsid w:val="00B63675"/>
    <w:rsid w:val="00B7414A"/>
    <w:rsid w:val="00B747FC"/>
    <w:rsid w:val="00B81265"/>
    <w:rsid w:val="00B9132F"/>
    <w:rsid w:val="00B92985"/>
    <w:rsid w:val="00B93834"/>
    <w:rsid w:val="00B9604E"/>
    <w:rsid w:val="00BB3160"/>
    <w:rsid w:val="00BB4498"/>
    <w:rsid w:val="00BB7513"/>
    <w:rsid w:val="00BC27AB"/>
    <w:rsid w:val="00BC2907"/>
    <w:rsid w:val="00BC3013"/>
    <w:rsid w:val="00BC548C"/>
    <w:rsid w:val="00BC5729"/>
    <w:rsid w:val="00BD120E"/>
    <w:rsid w:val="00BD3DD3"/>
    <w:rsid w:val="00BD3E29"/>
    <w:rsid w:val="00BD5596"/>
    <w:rsid w:val="00BD5AF7"/>
    <w:rsid w:val="00BE4F2C"/>
    <w:rsid w:val="00BE51ED"/>
    <w:rsid w:val="00BE58AA"/>
    <w:rsid w:val="00BE672F"/>
    <w:rsid w:val="00BE6C76"/>
    <w:rsid w:val="00BF155C"/>
    <w:rsid w:val="00BF4E75"/>
    <w:rsid w:val="00C00E8F"/>
    <w:rsid w:val="00C0186E"/>
    <w:rsid w:val="00C04AA3"/>
    <w:rsid w:val="00C217D2"/>
    <w:rsid w:val="00C22340"/>
    <w:rsid w:val="00C22EC8"/>
    <w:rsid w:val="00C3179C"/>
    <w:rsid w:val="00C32069"/>
    <w:rsid w:val="00C34176"/>
    <w:rsid w:val="00C34E5F"/>
    <w:rsid w:val="00C420FF"/>
    <w:rsid w:val="00C44F9D"/>
    <w:rsid w:val="00C50638"/>
    <w:rsid w:val="00C5685B"/>
    <w:rsid w:val="00C6057A"/>
    <w:rsid w:val="00C629B8"/>
    <w:rsid w:val="00C62AF1"/>
    <w:rsid w:val="00C64526"/>
    <w:rsid w:val="00C75980"/>
    <w:rsid w:val="00C805F4"/>
    <w:rsid w:val="00C82C85"/>
    <w:rsid w:val="00C83884"/>
    <w:rsid w:val="00C925E4"/>
    <w:rsid w:val="00CA2D29"/>
    <w:rsid w:val="00CA443E"/>
    <w:rsid w:val="00CA4A4F"/>
    <w:rsid w:val="00CA548F"/>
    <w:rsid w:val="00CA701A"/>
    <w:rsid w:val="00CB33E6"/>
    <w:rsid w:val="00CB4F0D"/>
    <w:rsid w:val="00CB61EF"/>
    <w:rsid w:val="00CB6BA4"/>
    <w:rsid w:val="00CC2850"/>
    <w:rsid w:val="00CC67E6"/>
    <w:rsid w:val="00CD1BF9"/>
    <w:rsid w:val="00CD3A57"/>
    <w:rsid w:val="00CD3F9E"/>
    <w:rsid w:val="00CD5696"/>
    <w:rsid w:val="00CE0FC8"/>
    <w:rsid w:val="00CE2A3B"/>
    <w:rsid w:val="00CE5B0B"/>
    <w:rsid w:val="00CF6729"/>
    <w:rsid w:val="00D011B2"/>
    <w:rsid w:val="00D0265A"/>
    <w:rsid w:val="00D0467F"/>
    <w:rsid w:val="00D060C5"/>
    <w:rsid w:val="00D1188C"/>
    <w:rsid w:val="00D12A3B"/>
    <w:rsid w:val="00D17174"/>
    <w:rsid w:val="00D227C6"/>
    <w:rsid w:val="00D26BC6"/>
    <w:rsid w:val="00D37A2D"/>
    <w:rsid w:val="00D4074F"/>
    <w:rsid w:val="00D53F27"/>
    <w:rsid w:val="00D571D2"/>
    <w:rsid w:val="00D57BA4"/>
    <w:rsid w:val="00D60500"/>
    <w:rsid w:val="00D60EA3"/>
    <w:rsid w:val="00D6184D"/>
    <w:rsid w:val="00D66F83"/>
    <w:rsid w:val="00D770AB"/>
    <w:rsid w:val="00D83579"/>
    <w:rsid w:val="00D847A7"/>
    <w:rsid w:val="00D84EAA"/>
    <w:rsid w:val="00D90B78"/>
    <w:rsid w:val="00D93A0A"/>
    <w:rsid w:val="00D95A57"/>
    <w:rsid w:val="00D96FBB"/>
    <w:rsid w:val="00DA2E49"/>
    <w:rsid w:val="00DA2EF7"/>
    <w:rsid w:val="00DA3171"/>
    <w:rsid w:val="00DA5EC0"/>
    <w:rsid w:val="00DA6DCA"/>
    <w:rsid w:val="00DC24FF"/>
    <w:rsid w:val="00DC385D"/>
    <w:rsid w:val="00DC3D1A"/>
    <w:rsid w:val="00DC5807"/>
    <w:rsid w:val="00DD03AA"/>
    <w:rsid w:val="00DD5FB4"/>
    <w:rsid w:val="00DE0FB7"/>
    <w:rsid w:val="00DE2370"/>
    <w:rsid w:val="00DE25BE"/>
    <w:rsid w:val="00DF1444"/>
    <w:rsid w:val="00DF3C54"/>
    <w:rsid w:val="00DF74F6"/>
    <w:rsid w:val="00E17EEE"/>
    <w:rsid w:val="00E250E1"/>
    <w:rsid w:val="00E311F6"/>
    <w:rsid w:val="00E5119E"/>
    <w:rsid w:val="00E55B19"/>
    <w:rsid w:val="00E66D8D"/>
    <w:rsid w:val="00E73AA4"/>
    <w:rsid w:val="00E754BF"/>
    <w:rsid w:val="00E85D3A"/>
    <w:rsid w:val="00E94691"/>
    <w:rsid w:val="00E94B3E"/>
    <w:rsid w:val="00E96FF3"/>
    <w:rsid w:val="00E9737B"/>
    <w:rsid w:val="00EA1FF1"/>
    <w:rsid w:val="00EA5F57"/>
    <w:rsid w:val="00EA755F"/>
    <w:rsid w:val="00EA7944"/>
    <w:rsid w:val="00EB15CF"/>
    <w:rsid w:val="00EB5C9D"/>
    <w:rsid w:val="00EB7D41"/>
    <w:rsid w:val="00ED1F8F"/>
    <w:rsid w:val="00ED287D"/>
    <w:rsid w:val="00ED4D6D"/>
    <w:rsid w:val="00ED72A3"/>
    <w:rsid w:val="00EE0DB5"/>
    <w:rsid w:val="00EE0F25"/>
    <w:rsid w:val="00EE1F11"/>
    <w:rsid w:val="00EE601D"/>
    <w:rsid w:val="00EF2A9F"/>
    <w:rsid w:val="00F029BD"/>
    <w:rsid w:val="00F07DED"/>
    <w:rsid w:val="00F11C77"/>
    <w:rsid w:val="00F132C7"/>
    <w:rsid w:val="00F14907"/>
    <w:rsid w:val="00F26314"/>
    <w:rsid w:val="00F26DD4"/>
    <w:rsid w:val="00F307C8"/>
    <w:rsid w:val="00F33D87"/>
    <w:rsid w:val="00F367B3"/>
    <w:rsid w:val="00F515A6"/>
    <w:rsid w:val="00F62461"/>
    <w:rsid w:val="00F6624E"/>
    <w:rsid w:val="00F6751C"/>
    <w:rsid w:val="00F73630"/>
    <w:rsid w:val="00F73A42"/>
    <w:rsid w:val="00F73B4A"/>
    <w:rsid w:val="00F74033"/>
    <w:rsid w:val="00F75DA5"/>
    <w:rsid w:val="00F94FE8"/>
    <w:rsid w:val="00F96BB5"/>
    <w:rsid w:val="00FB006C"/>
    <w:rsid w:val="00FB3050"/>
    <w:rsid w:val="00FB76E3"/>
    <w:rsid w:val="00FC6C8E"/>
    <w:rsid w:val="00FD555C"/>
    <w:rsid w:val="00FE1964"/>
    <w:rsid w:val="00FE6C62"/>
    <w:rsid w:val="00FE6CED"/>
    <w:rsid w:val="00FF0769"/>
    <w:rsid w:val="00FF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D2864-7A9A-401D-A58E-91233911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4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Ю. Перевозчикова</dc:creator>
  <cp:keywords/>
  <dc:description/>
  <cp:lastModifiedBy>Денис В. Замчевский</cp:lastModifiedBy>
  <cp:revision>63</cp:revision>
  <cp:lastPrinted>2018-01-31T06:43:00Z</cp:lastPrinted>
  <dcterms:created xsi:type="dcterms:W3CDTF">2017-01-19T05:36:00Z</dcterms:created>
  <dcterms:modified xsi:type="dcterms:W3CDTF">2021-02-08T10:06:00Z</dcterms:modified>
</cp:coreProperties>
</file>