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E4C" w:rsidRDefault="00630E4C" w:rsidP="00630E4C">
      <w:pPr>
        <w:jc w:val="center"/>
        <w:rPr>
          <w:b/>
          <w:sz w:val="26"/>
          <w:szCs w:val="26"/>
        </w:rPr>
      </w:pPr>
      <w:r>
        <w:rPr>
          <w:b/>
          <w:sz w:val="26"/>
          <w:szCs w:val="26"/>
        </w:rPr>
        <w:t xml:space="preserve">Заключение юридического отдела </w:t>
      </w:r>
    </w:p>
    <w:p w:rsidR="00630E4C" w:rsidRDefault="00630E4C" w:rsidP="00630E4C">
      <w:pPr>
        <w:jc w:val="center"/>
        <w:rPr>
          <w:b/>
          <w:sz w:val="26"/>
          <w:szCs w:val="26"/>
        </w:rPr>
      </w:pPr>
      <w:r>
        <w:rPr>
          <w:b/>
          <w:sz w:val="26"/>
          <w:szCs w:val="26"/>
        </w:rPr>
        <w:t>на проект решения Думы городского округа</w:t>
      </w:r>
    </w:p>
    <w:p w:rsidR="00630E4C" w:rsidRDefault="00630E4C" w:rsidP="00630E4C">
      <w:pPr>
        <w:jc w:val="center"/>
        <w:rPr>
          <w:b/>
          <w:sz w:val="26"/>
          <w:szCs w:val="26"/>
        </w:rPr>
      </w:pPr>
      <w:r>
        <w:rPr>
          <w:b/>
          <w:sz w:val="26"/>
          <w:szCs w:val="26"/>
        </w:rPr>
        <w:t xml:space="preserve">«О плане нормотворческой деятельности Думы городского округа Тольятти </w:t>
      </w:r>
    </w:p>
    <w:p w:rsidR="00630E4C" w:rsidRDefault="00630E4C" w:rsidP="00630E4C">
      <w:pPr>
        <w:jc w:val="center"/>
        <w:rPr>
          <w:b/>
          <w:sz w:val="26"/>
          <w:szCs w:val="26"/>
        </w:rPr>
      </w:pPr>
      <w:r>
        <w:rPr>
          <w:b/>
          <w:sz w:val="26"/>
          <w:szCs w:val="26"/>
        </w:rPr>
        <w:t xml:space="preserve">на </w:t>
      </w:r>
      <w:r>
        <w:rPr>
          <w:b/>
          <w:sz w:val="26"/>
          <w:szCs w:val="26"/>
          <w:lang w:val="en-US"/>
        </w:rPr>
        <w:t>III</w:t>
      </w:r>
      <w:r>
        <w:rPr>
          <w:b/>
          <w:sz w:val="26"/>
          <w:szCs w:val="26"/>
        </w:rPr>
        <w:t xml:space="preserve"> квартал 2022 года (первое чтение)»</w:t>
      </w:r>
    </w:p>
    <w:p w:rsidR="00630E4C" w:rsidRDefault="00630E4C" w:rsidP="00630E4C">
      <w:pPr>
        <w:jc w:val="center"/>
        <w:rPr>
          <w:b/>
          <w:sz w:val="26"/>
          <w:szCs w:val="26"/>
        </w:rPr>
      </w:pPr>
      <w:r>
        <w:rPr>
          <w:b/>
          <w:sz w:val="26"/>
          <w:szCs w:val="26"/>
        </w:rPr>
        <w:t>(Д-</w:t>
      </w:r>
      <w:r w:rsidR="00893D22">
        <w:rPr>
          <w:b/>
          <w:sz w:val="26"/>
          <w:szCs w:val="26"/>
          <w:lang w:val="en-US"/>
        </w:rPr>
        <w:t>1</w:t>
      </w:r>
      <w:bookmarkStart w:id="0" w:name="_GoBack"/>
      <w:bookmarkEnd w:id="0"/>
      <w:r>
        <w:rPr>
          <w:b/>
          <w:sz w:val="26"/>
          <w:szCs w:val="26"/>
        </w:rPr>
        <w:t>63 от 03.06.2022 г.)</w:t>
      </w:r>
    </w:p>
    <w:p w:rsidR="00630E4C" w:rsidRDefault="00630E4C" w:rsidP="00630E4C">
      <w:pPr>
        <w:jc w:val="center"/>
        <w:rPr>
          <w:b/>
          <w:sz w:val="26"/>
          <w:szCs w:val="26"/>
        </w:rPr>
      </w:pPr>
    </w:p>
    <w:p w:rsidR="00630E4C" w:rsidRDefault="00630E4C" w:rsidP="00630E4C">
      <w:pPr>
        <w:jc w:val="center"/>
        <w:rPr>
          <w:b/>
          <w:sz w:val="26"/>
          <w:szCs w:val="26"/>
        </w:rPr>
      </w:pPr>
    </w:p>
    <w:p w:rsidR="00630E4C" w:rsidRDefault="00630E4C" w:rsidP="00630E4C">
      <w:pPr>
        <w:jc w:val="both"/>
        <w:rPr>
          <w:sz w:val="26"/>
          <w:szCs w:val="26"/>
        </w:rPr>
      </w:pPr>
      <w:r>
        <w:rPr>
          <w:sz w:val="26"/>
          <w:szCs w:val="26"/>
        </w:rPr>
        <w:tab/>
        <w:t xml:space="preserve">Рассмотрев проект решения Думы городского округа «О плане нормотворческой деятельности Думы городского округа Тольятти на </w:t>
      </w:r>
      <w:r w:rsidRPr="00630E4C">
        <w:rPr>
          <w:sz w:val="26"/>
          <w:szCs w:val="26"/>
          <w:lang w:val="en-US"/>
        </w:rPr>
        <w:t>III</w:t>
      </w:r>
      <w:r>
        <w:rPr>
          <w:sz w:val="26"/>
          <w:szCs w:val="26"/>
        </w:rPr>
        <w:t xml:space="preserve"> квартал 2022 года (первое чтение)», необходимо отметить следующее.</w:t>
      </w:r>
    </w:p>
    <w:p w:rsidR="00630E4C" w:rsidRDefault="00630E4C" w:rsidP="00630E4C">
      <w:pPr>
        <w:pStyle w:val="a3"/>
        <w:jc w:val="both"/>
        <w:rPr>
          <w:sz w:val="26"/>
          <w:szCs w:val="26"/>
        </w:rPr>
      </w:pPr>
      <w:r>
        <w:rPr>
          <w:sz w:val="26"/>
          <w:szCs w:val="26"/>
        </w:rPr>
        <w:tab/>
        <w:t>В соответствии со статьей 59 Регламента Думы городского округа Тольятти, утвержденного решением Думы от 18.10.2018 №3,</w:t>
      </w:r>
      <w:r>
        <w:rPr>
          <w:i/>
          <w:sz w:val="26"/>
          <w:szCs w:val="26"/>
        </w:rPr>
        <w:t xml:space="preserve"> </w:t>
      </w:r>
      <w:r>
        <w:rPr>
          <w:sz w:val="26"/>
          <w:szCs w:val="26"/>
        </w:rPr>
        <w:t>деятельность Думы осуществляется в соответствии с планом нормотворческой деятельности, планом текущей деятельности, утверждаемыми Думой на квартал.</w:t>
      </w:r>
    </w:p>
    <w:p w:rsidR="00630E4C" w:rsidRDefault="00630E4C" w:rsidP="00630E4C">
      <w:pPr>
        <w:pStyle w:val="a3"/>
        <w:ind w:firstLine="709"/>
        <w:jc w:val="both"/>
        <w:rPr>
          <w:sz w:val="26"/>
          <w:szCs w:val="26"/>
        </w:rPr>
      </w:pPr>
      <w:r>
        <w:rPr>
          <w:sz w:val="26"/>
          <w:szCs w:val="26"/>
        </w:rPr>
        <w:t>План нормотворческой деятельности содержит:</w:t>
      </w:r>
    </w:p>
    <w:p w:rsidR="00630E4C" w:rsidRDefault="00630E4C" w:rsidP="00630E4C">
      <w:pPr>
        <w:pStyle w:val="a3"/>
        <w:ind w:firstLine="709"/>
        <w:jc w:val="both"/>
        <w:rPr>
          <w:sz w:val="26"/>
          <w:szCs w:val="26"/>
        </w:rPr>
      </w:pPr>
      <w:r>
        <w:rPr>
          <w:sz w:val="26"/>
          <w:szCs w:val="26"/>
        </w:rPr>
        <w:t>1) проекты нормативных правовых актов, принятых в первом чтении;</w:t>
      </w:r>
    </w:p>
    <w:p w:rsidR="00630E4C" w:rsidRDefault="00630E4C" w:rsidP="00630E4C">
      <w:pPr>
        <w:pStyle w:val="a3"/>
        <w:ind w:firstLine="709"/>
        <w:jc w:val="both"/>
        <w:rPr>
          <w:sz w:val="26"/>
          <w:szCs w:val="26"/>
        </w:rPr>
      </w:pPr>
      <w:r>
        <w:rPr>
          <w:sz w:val="26"/>
          <w:szCs w:val="26"/>
        </w:rPr>
        <w:t>2) планируемые к внесению на рассмотрение Думы проекты нормативных правовых актов о внесении изменений в действующие нормативные правовые акты Думы;</w:t>
      </w:r>
    </w:p>
    <w:p w:rsidR="00630E4C" w:rsidRDefault="00630E4C" w:rsidP="00630E4C">
      <w:pPr>
        <w:pStyle w:val="a3"/>
        <w:ind w:firstLine="709"/>
        <w:jc w:val="both"/>
        <w:rPr>
          <w:sz w:val="26"/>
          <w:szCs w:val="26"/>
        </w:rPr>
      </w:pPr>
      <w:r>
        <w:rPr>
          <w:sz w:val="26"/>
          <w:szCs w:val="26"/>
        </w:rPr>
        <w:t>3) проекты нормативных правовых актов, планируемые к внесению на рассмотрение Думы;</w:t>
      </w:r>
    </w:p>
    <w:p w:rsidR="00630E4C" w:rsidRDefault="00630E4C" w:rsidP="00630E4C">
      <w:pPr>
        <w:pStyle w:val="a3"/>
        <w:ind w:firstLine="709"/>
        <w:jc w:val="both"/>
        <w:rPr>
          <w:sz w:val="26"/>
          <w:szCs w:val="26"/>
        </w:rPr>
      </w:pPr>
      <w:r>
        <w:rPr>
          <w:sz w:val="26"/>
          <w:szCs w:val="26"/>
        </w:rPr>
        <w:t>4) проекты нормативных правовых актов по приведению действующих нормативных правовых актов Думы в соответствие с федеральным и областным законодательством;</w:t>
      </w:r>
    </w:p>
    <w:p w:rsidR="00630E4C" w:rsidRDefault="00630E4C" w:rsidP="00630E4C">
      <w:pPr>
        <w:pStyle w:val="a3"/>
        <w:ind w:firstLine="709"/>
        <w:jc w:val="both"/>
        <w:rPr>
          <w:sz w:val="26"/>
          <w:szCs w:val="26"/>
        </w:rPr>
      </w:pPr>
      <w:r>
        <w:rPr>
          <w:sz w:val="26"/>
          <w:szCs w:val="26"/>
        </w:rPr>
        <w:t>5) проекты законов, планируемые к внесению в Самарскую Губернскую Думу в порядке законодательной инициативы;</w:t>
      </w:r>
    </w:p>
    <w:p w:rsidR="00630E4C" w:rsidRDefault="00630E4C" w:rsidP="00630E4C">
      <w:pPr>
        <w:pStyle w:val="a3"/>
        <w:ind w:firstLine="709"/>
        <w:jc w:val="both"/>
        <w:rPr>
          <w:sz w:val="26"/>
          <w:szCs w:val="26"/>
        </w:rPr>
      </w:pPr>
      <w:r>
        <w:rPr>
          <w:sz w:val="26"/>
          <w:szCs w:val="26"/>
        </w:rPr>
        <w:t>6) проекты нормативных правовых актов, программ, планируемые главой</w:t>
      </w:r>
      <w:r w:rsidR="00C85455">
        <w:rPr>
          <w:sz w:val="26"/>
          <w:szCs w:val="26"/>
        </w:rPr>
        <w:t xml:space="preserve"> городского округа</w:t>
      </w:r>
      <w:r>
        <w:rPr>
          <w:sz w:val="26"/>
          <w:szCs w:val="26"/>
        </w:rPr>
        <w:t xml:space="preserve"> к внесению на рассмотрение Думы;</w:t>
      </w:r>
    </w:p>
    <w:p w:rsidR="00630E4C" w:rsidRDefault="00630E4C" w:rsidP="00630E4C">
      <w:pPr>
        <w:pStyle w:val="a3"/>
        <w:ind w:firstLine="709"/>
        <w:jc w:val="both"/>
        <w:rPr>
          <w:sz w:val="26"/>
          <w:szCs w:val="26"/>
        </w:rPr>
      </w:pPr>
      <w:r>
        <w:rPr>
          <w:sz w:val="26"/>
          <w:szCs w:val="26"/>
        </w:rPr>
        <w:t>7) иные вопросы нормотворческой деятельности.</w:t>
      </w:r>
    </w:p>
    <w:p w:rsidR="00630E4C" w:rsidRDefault="00630E4C" w:rsidP="00630E4C">
      <w:pPr>
        <w:pStyle w:val="a3"/>
        <w:ind w:firstLine="709"/>
        <w:jc w:val="both"/>
        <w:rPr>
          <w:sz w:val="26"/>
          <w:szCs w:val="26"/>
        </w:rPr>
      </w:pPr>
      <w:r>
        <w:rPr>
          <w:sz w:val="26"/>
          <w:szCs w:val="26"/>
        </w:rPr>
        <w:t>Проекты планов деятельности Думы формируются организационным отделом на основании предложений главы городского округа, депутатов, депутатских объединений, решений комиссий. На основании представленных документов организационный отдел готовит проекты планов деятельности Думы, которые представляет на заседание Думы председатель Думы.</w:t>
      </w:r>
    </w:p>
    <w:p w:rsidR="00630E4C" w:rsidRDefault="00630E4C" w:rsidP="00630E4C">
      <w:pPr>
        <w:pStyle w:val="a3"/>
        <w:ind w:firstLine="709"/>
        <w:jc w:val="both"/>
        <w:rPr>
          <w:sz w:val="26"/>
          <w:szCs w:val="26"/>
        </w:rPr>
      </w:pPr>
      <w:r>
        <w:rPr>
          <w:sz w:val="26"/>
          <w:szCs w:val="26"/>
        </w:rPr>
        <w:t xml:space="preserve">Проекты планов деятельности Думы представляются на первое заседание Думы последнего месяца текущего квартала. Дума, как правило, принимает планы деятельности Думы в первом чтении. Организационный отдел дорабатывает планы деятельности Думы ко второму чтению. Доработанные планы представляются для утверждения в Думу на второе заседание последнего месяца текущего квартала. План нормотворческой деятельности Думы после подписания главой </w:t>
      </w:r>
      <w:r w:rsidR="00C85455">
        <w:rPr>
          <w:sz w:val="26"/>
          <w:szCs w:val="26"/>
        </w:rPr>
        <w:t xml:space="preserve">городского округа </w:t>
      </w:r>
      <w:r>
        <w:rPr>
          <w:sz w:val="26"/>
          <w:szCs w:val="26"/>
        </w:rPr>
        <w:t>направляется исполнителям.</w:t>
      </w:r>
    </w:p>
    <w:p w:rsidR="00630E4C" w:rsidRDefault="00630E4C" w:rsidP="00630E4C">
      <w:pPr>
        <w:widowControl w:val="0"/>
        <w:autoSpaceDE w:val="0"/>
        <w:autoSpaceDN w:val="0"/>
        <w:adjustRightInd w:val="0"/>
        <w:ind w:firstLine="540"/>
        <w:jc w:val="both"/>
        <w:outlineLvl w:val="0"/>
        <w:rPr>
          <w:bCs/>
          <w:iCs/>
          <w:sz w:val="26"/>
          <w:szCs w:val="26"/>
        </w:rPr>
      </w:pPr>
      <w:r>
        <w:rPr>
          <w:b/>
          <w:bCs/>
          <w:iCs/>
          <w:sz w:val="26"/>
          <w:szCs w:val="26"/>
        </w:rPr>
        <w:tab/>
        <w:t xml:space="preserve">Вывод: </w:t>
      </w:r>
      <w:r>
        <w:rPr>
          <w:bCs/>
          <w:iCs/>
          <w:sz w:val="26"/>
          <w:szCs w:val="26"/>
        </w:rPr>
        <w:t>представленный вопрос находится в компетенции Думы и может быть рассмотрен на ее заседании.</w:t>
      </w:r>
    </w:p>
    <w:p w:rsidR="00630E4C" w:rsidRDefault="00630E4C" w:rsidP="00630E4C">
      <w:pPr>
        <w:jc w:val="both"/>
        <w:rPr>
          <w:bCs/>
          <w:iCs/>
          <w:sz w:val="26"/>
          <w:szCs w:val="26"/>
        </w:rPr>
      </w:pPr>
    </w:p>
    <w:p w:rsidR="00630E4C" w:rsidRDefault="00630E4C" w:rsidP="00630E4C">
      <w:pPr>
        <w:jc w:val="both"/>
        <w:rPr>
          <w:bCs/>
          <w:iCs/>
          <w:sz w:val="26"/>
          <w:szCs w:val="26"/>
        </w:rPr>
      </w:pPr>
    </w:p>
    <w:p w:rsidR="00630E4C" w:rsidRDefault="00630E4C" w:rsidP="00630E4C">
      <w:pPr>
        <w:jc w:val="both"/>
        <w:rPr>
          <w:b/>
          <w:bCs/>
          <w:iCs/>
          <w:sz w:val="26"/>
          <w:szCs w:val="26"/>
        </w:rPr>
      </w:pPr>
      <w:r>
        <w:rPr>
          <w:b/>
          <w:bCs/>
          <w:iCs/>
          <w:sz w:val="26"/>
          <w:szCs w:val="26"/>
        </w:rPr>
        <w:t xml:space="preserve">Начальник юридического отдела </w:t>
      </w:r>
      <w:r>
        <w:rPr>
          <w:b/>
          <w:bCs/>
          <w:iCs/>
          <w:sz w:val="26"/>
          <w:szCs w:val="26"/>
        </w:rPr>
        <w:tab/>
      </w:r>
      <w:r>
        <w:rPr>
          <w:b/>
          <w:bCs/>
          <w:iCs/>
          <w:sz w:val="26"/>
          <w:szCs w:val="26"/>
        </w:rPr>
        <w:tab/>
      </w:r>
      <w:r>
        <w:rPr>
          <w:b/>
          <w:bCs/>
          <w:iCs/>
          <w:sz w:val="26"/>
          <w:szCs w:val="26"/>
        </w:rPr>
        <w:tab/>
      </w:r>
      <w:r>
        <w:rPr>
          <w:b/>
          <w:bCs/>
          <w:iCs/>
          <w:sz w:val="26"/>
          <w:szCs w:val="26"/>
        </w:rPr>
        <w:tab/>
        <w:t xml:space="preserve">                   Е.В.Смирнова</w:t>
      </w:r>
    </w:p>
    <w:p w:rsidR="00630E4C" w:rsidRDefault="00630E4C" w:rsidP="00630E4C">
      <w:pPr>
        <w:rPr>
          <w:b/>
        </w:rPr>
      </w:pPr>
    </w:p>
    <w:p w:rsidR="00630E4C" w:rsidRDefault="00630E4C" w:rsidP="00630E4C">
      <w:r>
        <w:t>Жирнова, 280668</w:t>
      </w:r>
    </w:p>
    <w:sectPr w:rsidR="00630E4C" w:rsidSect="00B519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30E4C"/>
    <w:rsid w:val="000C3B83"/>
    <w:rsid w:val="00630E4C"/>
    <w:rsid w:val="00893D22"/>
    <w:rsid w:val="00B519CF"/>
    <w:rsid w:val="00C85455"/>
    <w:rsid w:val="00C901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E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0E4C"/>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E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0E4C"/>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9787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2081</Characters>
  <Application>Microsoft Office Word</Application>
  <DocSecurity>4</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П. Жирнова</dc:creator>
  <cp:lastModifiedBy>e.filatova</cp:lastModifiedBy>
  <cp:revision>2</cp:revision>
  <dcterms:created xsi:type="dcterms:W3CDTF">2022-06-03T07:11:00Z</dcterms:created>
  <dcterms:modified xsi:type="dcterms:W3CDTF">2022-06-03T07:11:00Z</dcterms:modified>
</cp:coreProperties>
</file>