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A87F9" w14:textId="77777777" w:rsidR="00C52E91" w:rsidRPr="009E7C27" w:rsidRDefault="00C52E91" w:rsidP="00C52E91">
      <w:pPr>
        <w:pStyle w:val="2"/>
        <w:spacing w:before="0" w:after="0"/>
        <w:jc w:val="center"/>
        <w:rPr>
          <w:rFonts w:ascii="Times New Roman" w:hAnsi="Times New Roman" w:cs="Times New Roman"/>
          <w:i w:val="0"/>
          <w:caps/>
        </w:rPr>
      </w:pPr>
      <w:bookmarkStart w:id="0" w:name="_GoBack"/>
      <w:bookmarkEnd w:id="0"/>
      <w:r w:rsidRPr="009E7C27">
        <w:rPr>
          <w:rFonts w:ascii="Times New Roman" w:hAnsi="Times New Roman" w:cs="Times New Roman"/>
          <w:i w:val="0"/>
          <w:caps/>
        </w:rPr>
        <w:t>заключение</w:t>
      </w:r>
    </w:p>
    <w:p w14:paraId="47BF1560" w14:textId="120C61A4" w:rsidR="00C52E91" w:rsidRPr="009E7C27" w:rsidRDefault="00C52E91" w:rsidP="00C52E91">
      <w:pPr>
        <w:jc w:val="center"/>
        <w:rPr>
          <w:b/>
          <w:bCs/>
          <w:sz w:val="28"/>
          <w:szCs w:val="28"/>
        </w:rPr>
      </w:pPr>
      <w:r w:rsidRPr="009E7C27">
        <w:rPr>
          <w:b/>
          <w:bCs/>
          <w:sz w:val="28"/>
          <w:szCs w:val="28"/>
        </w:rPr>
        <w:t xml:space="preserve">юридического </w:t>
      </w:r>
      <w:r w:rsidR="0047531A">
        <w:rPr>
          <w:b/>
          <w:bCs/>
          <w:sz w:val="28"/>
          <w:szCs w:val="28"/>
        </w:rPr>
        <w:t>отдела</w:t>
      </w:r>
    </w:p>
    <w:p w14:paraId="08A3ED61" w14:textId="77777777" w:rsidR="00C52E91" w:rsidRPr="009E7C27" w:rsidRDefault="00C52E91" w:rsidP="00C52E91">
      <w:pPr>
        <w:jc w:val="center"/>
        <w:rPr>
          <w:b/>
          <w:bCs/>
          <w:sz w:val="28"/>
          <w:szCs w:val="28"/>
        </w:rPr>
      </w:pPr>
      <w:r w:rsidRPr="009E7C27">
        <w:rPr>
          <w:b/>
          <w:bCs/>
          <w:sz w:val="28"/>
          <w:szCs w:val="28"/>
        </w:rPr>
        <w:t>аппарата Думы городского округа Тольятти</w:t>
      </w:r>
    </w:p>
    <w:p w14:paraId="13D64C20" w14:textId="50031530" w:rsidR="00C52E91" w:rsidRPr="009E7C27" w:rsidRDefault="00C52E91" w:rsidP="00FE1B38">
      <w:pPr>
        <w:jc w:val="center"/>
        <w:rPr>
          <w:b/>
          <w:sz w:val="28"/>
          <w:szCs w:val="28"/>
        </w:rPr>
      </w:pPr>
      <w:r w:rsidRPr="009E7C27">
        <w:rPr>
          <w:b/>
          <w:sz w:val="28"/>
          <w:szCs w:val="28"/>
        </w:rPr>
        <w:t xml:space="preserve">на </w:t>
      </w:r>
      <w:r w:rsidR="00FE1B38">
        <w:rPr>
          <w:b/>
          <w:sz w:val="28"/>
          <w:szCs w:val="28"/>
        </w:rPr>
        <w:t>протест</w:t>
      </w:r>
      <w:r w:rsidRPr="009E7C27">
        <w:rPr>
          <w:b/>
          <w:sz w:val="28"/>
          <w:szCs w:val="28"/>
        </w:rPr>
        <w:t xml:space="preserve"> </w:t>
      </w:r>
      <w:r>
        <w:rPr>
          <w:b/>
          <w:sz w:val="28"/>
          <w:szCs w:val="28"/>
        </w:rPr>
        <w:t xml:space="preserve">и.о. </w:t>
      </w:r>
      <w:r w:rsidRPr="009E7C27">
        <w:rPr>
          <w:b/>
          <w:sz w:val="28"/>
          <w:szCs w:val="28"/>
        </w:rPr>
        <w:t>прокурора г.</w:t>
      </w:r>
      <w:r w:rsidR="000A7E20">
        <w:rPr>
          <w:b/>
          <w:sz w:val="28"/>
          <w:szCs w:val="28"/>
        </w:rPr>
        <w:t xml:space="preserve"> </w:t>
      </w:r>
      <w:r w:rsidRPr="009E7C27">
        <w:rPr>
          <w:b/>
          <w:sz w:val="28"/>
          <w:szCs w:val="28"/>
        </w:rPr>
        <w:t xml:space="preserve">Тольятти  </w:t>
      </w:r>
      <w:r w:rsidR="0047531A">
        <w:rPr>
          <w:b/>
          <w:sz w:val="28"/>
          <w:szCs w:val="28"/>
        </w:rPr>
        <w:t xml:space="preserve">на </w:t>
      </w:r>
      <w:r w:rsidR="00FE1B38">
        <w:rPr>
          <w:b/>
          <w:sz w:val="28"/>
          <w:szCs w:val="28"/>
        </w:rPr>
        <w:t xml:space="preserve">решение Думы городского округа Тольятти от </w:t>
      </w:r>
      <w:r w:rsidR="009253D1">
        <w:rPr>
          <w:b/>
          <w:sz w:val="28"/>
          <w:szCs w:val="28"/>
        </w:rPr>
        <w:t>10</w:t>
      </w:r>
      <w:r w:rsidR="00FE1B38">
        <w:rPr>
          <w:b/>
          <w:sz w:val="28"/>
          <w:szCs w:val="28"/>
        </w:rPr>
        <w:t>.</w:t>
      </w:r>
      <w:r w:rsidR="0047531A">
        <w:rPr>
          <w:b/>
          <w:sz w:val="28"/>
          <w:szCs w:val="28"/>
        </w:rPr>
        <w:t>11</w:t>
      </w:r>
      <w:r w:rsidR="00FE1B38">
        <w:rPr>
          <w:b/>
          <w:sz w:val="28"/>
          <w:szCs w:val="28"/>
        </w:rPr>
        <w:t>.20</w:t>
      </w:r>
      <w:r w:rsidR="0047531A">
        <w:rPr>
          <w:b/>
          <w:sz w:val="28"/>
          <w:szCs w:val="28"/>
        </w:rPr>
        <w:t>21</w:t>
      </w:r>
      <w:r w:rsidR="00FE1B38">
        <w:rPr>
          <w:b/>
          <w:sz w:val="28"/>
          <w:szCs w:val="28"/>
        </w:rPr>
        <w:t xml:space="preserve"> №</w:t>
      </w:r>
      <w:r w:rsidR="0047531A">
        <w:rPr>
          <w:b/>
          <w:sz w:val="28"/>
          <w:szCs w:val="28"/>
        </w:rPr>
        <w:t>1</w:t>
      </w:r>
      <w:r w:rsidR="009253D1">
        <w:rPr>
          <w:b/>
          <w:sz w:val="28"/>
          <w:szCs w:val="28"/>
        </w:rPr>
        <w:t>098</w:t>
      </w:r>
      <w:r w:rsidR="0047531A">
        <w:rPr>
          <w:b/>
          <w:sz w:val="28"/>
          <w:szCs w:val="28"/>
        </w:rPr>
        <w:t xml:space="preserve"> «О положении о муниципальном контроле </w:t>
      </w:r>
      <w:r w:rsidR="009253D1">
        <w:rPr>
          <w:b/>
          <w:sz w:val="28"/>
          <w:szCs w:val="28"/>
        </w:rPr>
        <w:t>на автомобильном транспорте, городском наземном электрическом транспорте и в дорожном хозяйстве в границах городского округа Тольятти</w:t>
      </w:r>
      <w:r w:rsidR="0047531A">
        <w:rPr>
          <w:b/>
          <w:sz w:val="28"/>
          <w:szCs w:val="28"/>
        </w:rPr>
        <w:t>»</w:t>
      </w:r>
      <w:r w:rsidRPr="009E7C27">
        <w:rPr>
          <w:b/>
          <w:sz w:val="28"/>
          <w:szCs w:val="28"/>
        </w:rPr>
        <w:t xml:space="preserve"> </w:t>
      </w:r>
    </w:p>
    <w:p w14:paraId="1F332FB5" w14:textId="2D334562" w:rsidR="00C52E91" w:rsidRPr="009E7C27" w:rsidRDefault="00C52E91" w:rsidP="00C52E91">
      <w:pPr>
        <w:jc w:val="center"/>
        <w:rPr>
          <w:b/>
          <w:sz w:val="28"/>
          <w:szCs w:val="28"/>
        </w:rPr>
      </w:pPr>
      <w:r w:rsidRPr="009E7C27">
        <w:rPr>
          <w:b/>
          <w:sz w:val="28"/>
          <w:szCs w:val="28"/>
        </w:rPr>
        <w:t>(Д</w:t>
      </w:r>
      <w:r w:rsidR="00341F1C">
        <w:rPr>
          <w:b/>
          <w:sz w:val="28"/>
          <w:szCs w:val="28"/>
        </w:rPr>
        <w:t xml:space="preserve"> – </w:t>
      </w:r>
      <w:r w:rsidR="00FE1B38">
        <w:rPr>
          <w:b/>
          <w:sz w:val="28"/>
          <w:szCs w:val="28"/>
        </w:rPr>
        <w:t>9</w:t>
      </w:r>
      <w:r w:rsidR="009253D1">
        <w:rPr>
          <w:b/>
          <w:sz w:val="28"/>
          <w:szCs w:val="28"/>
        </w:rPr>
        <w:t>1</w:t>
      </w:r>
      <w:r>
        <w:rPr>
          <w:b/>
          <w:sz w:val="28"/>
          <w:szCs w:val="28"/>
        </w:rPr>
        <w:t xml:space="preserve"> </w:t>
      </w:r>
      <w:r w:rsidRPr="009E7C27">
        <w:rPr>
          <w:b/>
          <w:sz w:val="28"/>
          <w:szCs w:val="28"/>
        </w:rPr>
        <w:t xml:space="preserve">от </w:t>
      </w:r>
      <w:r w:rsidR="0047531A">
        <w:rPr>
          <w:b/>
          <w:sz w:val="28"/>
          <w:szCs w:val="28"/>
        </w:rPr>
        <w:t>10</w:t>
      </w:r>
      <w:r w:rsidRPr="009E7C27">
        <w:rPr>
          <w:b/>
          <w:sz w:val="28"/>
          <w:szCs w:val="28"/>
        </w:rPr>
        <w:t>.</w:t>
      </w:r>
      <w:r>
        <w:rPr>
          <w:b/>
          <w:sz w:val="28"/>
          <w:szCs w:val="28"/>
        </w:rPr>
        <w:t>0</w:t>
      </w:r>
      <w:r w:rsidR="0047531A">
        <w:rPr>
          <w:b/>
          <w:sz w:val="28"/>
          <w:szCs w:val="28"/>
        </w:rPr>
        <w:t>4</w:t>
      </w:r>
      <w:r w:rsidRPr="009E7C27">
        <w:rPr>
          <w:b/>
          <w:sz w:val="28"/>
          <w:szCs w:val="28"/>
        </w:rPr>
        <w:t>.20</w:t>
      </w:r>
      <w:r w:rsidR="00341F1C">
        <w:rPr>
          <w:b/>
          <w:sz w:val="28"/>
          <w:szCs w:val="28"/>
        </w:rPr>
        <w:t>2</w:t>
      </w:r>
      <w:r w:rsidR="0047531A">
        <w:rPr>
          <w:b/>
          <w:sz w:val="28"/>
          <w:szCs w:val="28"/>
        </w:rPr>
        <w:t>3</w:t>
      </w:r>
      <w:r w:rsidRPr="009E7C27">
        <w:rPr>
          <w:b/>
          <w:sz w:val="28"/>
          <w:szCs w:val="28"/>
        </w:rPr>
        <w:t>г.)</w:t>
      </w:r>
    </w:p>
    <w:p w14:paraId="09BA028E" w14:textId="77777777" w:rsidR="00C52E91" w:rsidRPr="009E7C27" w:rsidRDefault="00C52E91" w:rsidP="00C52E91">
      <w:pPr>
        <w:jc w:val="center"/>
        <w:rPr>
          <w:sz w:val="28"/>
          <w:szCs w:val="28"/>
        </w:rPr>
      </w:pPr>
    </w:p>
    <w:p w14:paraId="4000C638" w14:textId="0057B8A6" w:rsidR="00C52E91" w:rsidRPr="005B56EC" w:rsidRDefault="00C52E91" w:rsidP="00D5335E">
      <w:pPr>
        <w:spacing w:line="276" w:lineRule="auto"/>
        <w:rPr>
          <w:sz w:val="27"/>
          <w:szCs w:val="27"/>
        </w:rPr>
      </w:pPr>
      <w:r w:rsidRPr="009E7C27">
        <w:rPr>
          <w:sz w:val="28"/>
          <w:szCs w:val="28"/>
        </w:rPr>
        <w:tab/>
      </w:r>
      <w:r w:rsidRPr="005B56EC">
        <w:rPr>
          <w:sz w:val="27"/>
          <w:szCs w:val="27"/>
        </w:rPr>
        <w:t xml:space="preserve">Рассмотрев </w:t>
      </w:r>
      <w:r w:rsidR="00FE1B38" w:rsidRPr="005B56EC">
        <w:rPr>
          <w:sz w:val="27"/>
          <w:szCs w:val="27"/>
        </w:rPr>
        <w:t>протест</w:t>
      </w:r>
      <w:r w:rsidRPr="005B56EC">
        <w:rPr>
          <w:sz w:val="27"/>
          <w:szCs w:val="27"/>
        </w:rPr>
        <w:t xml:space="preserve"> и.о. прокурора г.</w:t>
      </w:r>
      <w:r w:rsidR="000A7E20" w:rsidRPr="005B56EC">
        <w:rPr>
          <w:sz w:val="27"/>
          <w:szCs w:val="27"/>
        </w:rPr>
        <w:t xml:space="preserve"> </w:t>
      </w:r>
      <w:r w:rsidRPr="005B56EC">
        <w:rPr>
          <w:sz w:val="27"/>
          <w:szCs w:val="27"/>
        </w:rPr>
        <w:t>Тольятти</w:t>
      </w:r>
      <w:r w:rsidR="00FE1B38" w:rsidRPr="005B56EC">
        <w:rPr>
          <w:sz w:val="27"/>
          <w:szCs w:val="27"/>
        </w:rPr>
        <w:t xml:space="preserve"> на решение Думы городского округа Тольятти</w:t>
      </w:r>
      <w:r w:rsidR="0047531A" w:rsidRPr="005B56EC">
        <w:rPr>
          <w:sz w:val="27"/>
          <w:szCs w:val="27"/>
        </w:rPr>
        <w:t xml:space="preserve"> </w:t>
      </w:r>
      <w:r w:rsidR="00FE1B38" w:rsidRPr="005B56EC">
        <w:rPr>
          <w:sz w:val="27"/>
          <w:szCs w:val="27"/>
        </w:rPr>
        <w:t xml:space="preserve">от </w:t>
      </w:r>
      <w:r w:rsidR="009253D1" w:rsidRPr="005B56EC">
        <w:rPr>
          <w:sz w:val="27"/>
          <w:szCs w:val="27"/>
        </w:rPr>
        <w:t>10</w:t>
      </w:r>
      <w:r w:rsidR="00FE1B38" w:rsidRPr="005B56EC">
        <w:rPr>
          <w:sz w:val="27"/>
          <w:szCs w:val="27"/>
        </w:rPr>
        <w:t>.</w:t>
      </w:r>
      <w:r w:rsidR="0047531A" w:rsidRPr="005B56EC">
        <w:rPr>
          <w:sz w:val="27"/>
          <w:szCs w:val="27"/>
        </w:rPr>
        <w:t>11</w:t>
      </w:r>
      <w:r w:rsidR="00FE1B38" w:rsidRPr="005B56EC">
        <w:rPr>
          <w:sz w:val="27"/>
          <w:szCs w:val="27"/>
        </w:rPr>
        <w:t>.20</w:t>
      </w:r>
      <w:r w:rsidR="0047531A" w:rsidRPr="005B56EC">
        <w:rPr>
          <w:sz w:val="27"/>
          <w:szCs w:val="27"/>
        </w:rPr>
        <w:t>21</w:t>
      </w:r>
      <w:r w:rsidR="00FE1B38" w:rsidRPr="005B56EC">
        <w:rPr>
          <w:sz w:val="27"/>
          <w:szCs w:val="27"/>
        </w:rPr>
        <w:t xml:space="preserve"> №1</w:t>
      </w:r>
      <w:r w:rsidR="009253D1" w:rsidRPr="005B56EC">
        <w:rPr>
          <w:sz w:val="27"/>
          <w:szCs w:val="27"/>
        </w:rPr>
        <w:t>098</w:t>
      </w:r>
      <w:r w:rsidR="0047531A" w:rsidRPr="005B56EC">
        <w:rPr>
          <w:sz w:val="27"/>
          <w:szCs w:val="27"/>
        </w:rPr>
        <w:t xml:space="preserve"> «О положении о муниципальном контроле </w:t>
      </w:r>
      <w:r w:rsidR="009253D1" w:rsidRPr="005B56EC">
        <w:rPr>
          <w:sz w:val="27"/>
          <w:szCs w:val="27"/>
        </w:rPr>
        <w:t>на автомобильном транспорте, городском наземном электрическом транспорте и в дорожном хозяйстве в границах</w:t>
      </w:r>
      <w:r w:rsidR="0047531A" w:rsidRPr="005B56EC">
        <w:rPr>
          <w:sz w:val="27"/>
          <w:szCs w:val="27"/>
        </w:rPr>
        <w:t xml:space="preserve"> городского округа Тольятти»</w:t>
      </w:r>
      <w:r w:rsidRPr="005B56EC">
        <w:rPr>
          <w:sz w:val="27"/>
          <w:szCs w:val="27"/>
        </w:rPr>
        <w:t>, необходимо отметить следующее.</w:t>
      </w:r>
    </w:p>
    <w:p w14:paraId="78C13ADE" w14:textId="77777777" w:rsidR="00C52E91" w:rsidRPr="005B56EC" w:rsidRDefault="00C52E91" w:rsidP="001040D4">
      <w:pPr>
        <w:autoSpaceDE w:val="0"/>
        <w:autoSpaceDN w:val="0"/>
        <w:adjustRightInd w:val="0"/>
        <w:spacing w:line="276" w:lineRule="auto"/>
        <w:ind w:firstLine="709"/>
        <w:rPr>
          <w:b/>
          <w:sz w:val="27"/>
          <w:szCs w:val="27"/>
        </w:rPr>
      </w:pPr>
      <w:r w:rsidRPr="005B56EC">
        <w:rPr>
          <w:sz w:val="27"/>
          <w:szCs w:val="27"/>
        </w:rPr>
        <w:t xml:space="preserve">Согласно статье 21 Федерального закона от 17.01.1992г. № 2202-1 «О прокуратуре Российской Федерации» (далее – Федеральный закон о прокуратуре) предметом прокурорского надзора является, в том числе, </w:t>
      </w:r>
      <w:r w:rsidR="00A92DCA" w:rsidRPr="005B56EC">
        <w:rPr>
          <w:b/>
          <w:sz w:val="27"/>
          <w:szCs w:val="27"/>
        </w:rPr>
        <w:t>надзор за соответствие</w:t>
      </w:r>
      <w:r w:rsidRPr="005B56EC">
        <w:rPr>
          <w:b/>
          <w:sz w:val="27"/>
          <w:szCs w:val="27"/>
        </w:rPr>
        <w:t xml:space="preserve"> законам правовых актов, издаваемых </w:t>
      </w:r>
      <w:r w:rsidR="00A92DCA" w:rsidRPr="005B56EC">
        <w:rPr>
          <w:rFonts w:eastAsiaTheme="minorHAnsi"/>
          <w:b/>
          <w:bCs/>
          <w:sz w:val="27"/>
          <w:szCs w:val="27"/>
        </w:rPr>
        <w:t>федеральными органами исполнительной власти, Следственным комитетом Российской Федерации,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субъектами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органами управления и руководителями коммерческих и некоммерческих организаций</w:t>
      </w:r>
      <w:r w:rsidRPr="005B56EC">
        <w:rPr>
          <w:b/>
          <w:sz w:val="27"/>
          <w:szCs w:val="27"/>
        </w:rPr>
        <w:t>.</w:t>
      </w:r>
    </w:p>
    <w:p w14:paraId="27FC3F66" w14:textId="77777777" w:rsidR="001040D4" w:rsidRPr="005B56EC" w:rsidRDefault="00C52E91" w:rsidP="001040D4">
      <w:pPr>
        <w:autoSpaceDE w:val="0"/>
        <w:autoSpaceDN w:val="0"/>
        <w:adjustRightInd w:val="0"/>
        <w:spacing w:line="276" w:lineRule="auto"/>
        <w:rPr>
          <w:rFonts w:eastAsiaTheme="minorHAnsi"/>
          <w:bCs/>
          <w:sz w:val="27"/>
          <w:szCs w:val="27"/>
        </w:rPr>
      </w:pPr>
      <w:r w:rsidRPr="005B56EC">
        <w:rPr>
          <w:sz w:val="27"/>
          <w:szCs w:val="27"/>
        </w:rPr>
        <w:tab/>
        <w:t xml:space="preserve">Часть </w:t>
      </w:r>
      <w:r w:rsidR="001040D4" w:rsidRPr="005B56EC">
        <w:rPr>
          <w:sz w:val="27"/>
          <w:szCs w:val="27"/>
        </w:rPr>
        <w:t>1</w:t>
      </w:r>
      <w:r w:rsidRPr="005B56EC">
        <w:rPr>
          <w:sz w:val="27"/>
          <w:szCs w:val="27"/>
        </w:rPr>
        <w:t xml:space="preserve"> статьи 2</w:t>
      </w:r>
      <w:r w:rsidR="001040D4" w:rsidRPr="005B56EC">
        <w:rPr>
          <w:sz w:val="27"/>
          <w:szCs w:val="27"/>
        </w:rPr>
        <w:t>3</w:t>
      </w:r>
      <w:r w:rsidRPr="005B56EC">
        <w:rPr>
          <w:sz w:val="27"/>
          <w:szCs w:val="27"/>
        </w:rPr>
        <w:t xml:space="preserve"> Федерального закона о прокуратуре предусматривает, что </w:t>
      </w:r>
      <w:r w:rsidR="001040D4" w:rsidRPr="005B56EC">
        <w:rPr>
          <w:rFonts w:eastAsiaTheme="minorHAnsi"/>
          <w:bCs/>
          <w:sz w:val="27"/>
          <w:szCs w:val="27"/>
        </w:rPr>
        <w:t>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w:t>
      </w:r>
    </w:p>
    <w:p w14:paraId="13190380" w14:textId="77777777" w:rsidR="001040D4" w:rsidRPr="005B56EC" w:rsidRDefault="00C52E91" w:rsidP="001040D4">
      <w:pPr>
        <w:autoSpaceDE w:val="0"/>
        <w:autoSpaceDN w:val="0"/>
        <w:adjustRightInd w:val="0"/>
        <w:spacing w:line="276" w:lineRule="auto"/>
        <w:rPr>
          <w:rFonts w:eastAsiaTheme="minorHAnsi"/>
          <w:sz w:val="27"/>
          <w:szCs w:val="27"/>
        </w:rPr>
      </w:pPr>
      <w:r w:rsidRPr="005B56EC">
        <w:rPr>
          <w:sz w:val="27"/>
          <w:szCs w:val="27"/>
        </w:rPr>
        <w:tab/>
        <w:t xml:space="preserve">В соответствии </w:t>
      </w:r>
      <w:r w:rsidR="001040D4" w:rsidRPr="005B56EC">
        <w:rPr>
          <w:sz w:val="27"/>
          <w:szCs w:val="27"/>
        </w:rPr>
        <w:t xml:space="preserve">с частью 2 </w:t>
      </w:r>
      <w:r w:rsidRPr="005B56EC">
        <w:rPr>
          <w:sz w:val="27"/>
          <w:szCs w:val="27"/>
        </w:rPr>
        <w:t>стать</w:t>
      </w:r>
      <w:r w:rsidR="0077679C" w:rsidRPr="005B56EC">
        <w:rPr>
          <w:sz w:val="27"/>
          <w:szCs w:val="27"/>
        </w:rPr>
        <w:t>и</w:t>
      </w:r>
      <w:r w:rsidR="001040D4" w:rsidRPr="005B56EC">
        <w:rPr>
          <w:sz w:val="27"/>
          <w:szCs w:val="27"/>
        </w:rPr>
        <w:t xml:space="preserve"> </w:t>
      </w:r>
      <w:r w:rsidRPr="005B56EC">
        <w:rPr>
          <w:sz w:val="27"/>
          <w:szCs w:val="27"/>
        </w:rPr>
        <w:t>2</w:t>
      </w:r>
      <w:r w:rsidR="001040D4" w:rsidRPr="005B56EC">
        <w:rPr>
          <w:sz w:val="27"/>
          <w:szCs w:val="27"/>
        </w:rPr>
        <w:t>3</w:t>
      </w:r>
      <w:r w:rsidRPr="005B56EC">
        <w:rPr>
          <w:sz w:val="27"/>
          <w:szCs w:val="27"/>
        </w:rPr>
        <w:t xml:space="preserve"> Федерального закона о прокуратуре  </w:t>
      </w:r>
      <w:r w:rsidR="001040D4" w:rsidRPr="005B56EC">
        <w:rPr>
          <w:sz w:val="27"/>
          <w:szCs w:val="27"/>
        </w:rPr>
        <w:t>п</w:t>
      </w:r>
      <w:r w:rsidR="001040D4" w:rsidRPr="005B56EC">
        <w:rPr>
          <w:rFonts w:eastAsiaTheme="minorHAnsi"/>
          <w:sz w:val="27"/>
          <w:szCs w:val="27"/>
        </w:rPr>
        <w:t xml:space="preserve">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w:t>
      </w:r>
      <w:r w:rsidR="001040D4" w:rsidRPr="005B56EC">
        <w:rPr>
          <w:rFonts w:eastAsiaTheme="minorHAnsi"/>
          <w:sz w:val="27"/>
          <w:szCs w:val="27"/>
        </w:rPr>
        <w:lastRenderedPageBreak/>
        <w:t>рассмотрения протеста. О результатах рассмотрения протеста незамедлительно сообщается прокурору в письменной форме.</w:t>
      </w:r>
    </w:p>
    <w:p w14:paraId="41A7F800" w14:textId="77777777" w:rsidR="001040D4" w:rsidRPr="005B56EC" w:rsidRDefault="001040D4" w:rsidP="001040D4">
      <w:pPr>
        <w:autoSpaceDE w:val="0"/>
        <w:autoSpaceDN w:val="0"/>
        <w:adjustRightInd w:val="0"/>
        <w:ind w:firstLine="709"/>
        <w:rPr>
          <w:rFonts w:eastAsiaTheme="minorHAnsi"/>
          <w:sz w:val="27"/>
          <w:szCs w:val="27"/>
        </w:rPr>
      </w:pPr>
      <w:r w:rsidRPr="005B56EC">
        <w:rPr>
          <w:rFonts w:eastAsiaTheme="minorHAnsi"/>
          <w:sz w:val="27"/>
          <w:szCs w:val="27"/>
        </w:rPr>
        <w:t>При рассмотрении протеста коллегиальным органом о дне заседания сообщается прокурору, принесшему протест.</w:t>
      </w:r>
    </w:p>
    <w:p w14:paraId="63E2022C" w14:textId="77777777" w:rsidR="00C52E91" w:rsidRPr="005B56EC" w:rsidRDefault="00C52E91" w:rsidP="001040D4">
      <w:pPr>
        <w:autoSpaceDE w:val="0"/>
        <w:autoSpaceDN w:val="0"/>
        <w:adjustRightInd w:val="0"/>
        <w:spacing w:line="276" w:lineRule="auto"/>
        <w:ind w:firstLine="540"/>
        <w:outlineLvl w:val="2"/>
        <w:rPr>
          <w:sz w:val="27"/>
          <w:szCs w:val="27"/>
        </w:rPr>
      </w:pPr>
      <w:r w:rsidRPr="005B56EC">
        <w:rPr>
          <w:sz w:val="27"/>
          <w:szCs w:val="27"/>
        </w:rPr>
        <w:tab/>
        <w:t>Согласно статье 9</w:t>
      </w:r>
      <w:r w:rsidR="00235258" w:rsidRPr="005B56EC">
        <w:rPr>
          <w:sz w:val="27"/>
          <w:szCs w:val="27"/>
        </w:rPr>
        <w:t>8</w:t>
      </w:r>
      <w:r w:rsidRPr="005B56EC">
        <w:rPr>
          <w:sz w:val="27"/>
          <w:szCs w:val="27"/>
        </w:rPr>
        <w:t xml:space="preserve"> Регламента Думы городского округа Тольятти, утвержденного решением Думы городского округа Тольятти от </w:t>
      </w:r>
      <w:r w:rsidR="00DF28C0" w:rsidRPr="005B56EC">
        <w:rPr>
          <w:sz w:val="27"/>
          <w:szCs w:val="27"/>
        </w:rPr>
        <w:t>18</w:t>
      </w:r>
      <w:r w:rsidRPr="005B56EC">
        <w:rPr>
          <w:sz w:val="27"/>
          <w:szCs w:val="27"/>
        </w:rPr>
        <w:t>.</w:t>
      </w:r>
      <w:r w:rsidR="00DF28C0" w:rsidRPr="005B56EC">
        <w:rPr>
          <w:sz w:val="27"/>
          <w:szCs w:val="27"/>
        </w:rPr>
        <w:t>10</w:t>
      </w:r>
      <w:r w:rsidRPr="005B56EC">
        <w:rPr>
          <w:sz w:val="27"/>
          <w:szCs w:val="27"/>
        </w:rPr>
        <w:t>.201</w:t>
      </w:r>
      <w:r w:rsidR="00DF28C0" w:rsidRPr="005B56EC">
        <w:rPr>
          <w:sz w:val="27"/>
          <w:szCs w:val="27"/>
        </w:rPr>
        <w:t>8</w:t>
      </w:r>
      <w:r w:rsidRPr="005B56EC">
        <w:rPr>
          <w:sz w:val="27"/>
          <w:szCs w:val="27"/>
        </w:rPr>
        <w:t xml:space="preserve">г. № </w:t>
      </w:r>
      <w:r w:rsidR="00DF28C0" w:rsidRPr="005B56EC">
        <w:rPr>
          <w:sz w:val="27"/>
          <w:szCs w:val="27"/>
        </w:rPr>
        <w:t>3</w:t>
      </w:r>
      <w:r w:rsidRPr="005B56EC">
        <w:rPr>
          <w:sz w:val="27"/>
          <w:szCs w:val="27"/>
        </w:rPr>
        <w:t xml:space="preserve"> (далее – Регламент Думы городского округа), при поступлении в Думу актов прокурорского реагирования отдел документационного обеспечения осуществляет их регистрацию не позднее следующего рабочего дня со дня их поступления.</w:t>
      </w:r>
    </w:p>
    <w:p w14:paraId="707A3A95" w14:textId="77777777" w:rsidR="00235258" w:rsidRPr="005B56EC" w:rsidRDefault="00235258" w:rsidP="00D5335E">
      <w:pPr>
        <w:autoSpaceDE w:val="0"/>
        <w:autoSpaceDN w:val="0"/>
        <w:adjustRightInd w:val="0"/>
        <w:spacing w:line="276" w:lineRule="auto"/>
        <w:ind w:firstLine="540"/>
        <w:rPr>
          <w:rFonts w:eastAsiaTheme="minorHAnsi"/>
          <w:sz w:val="27"/>
          <w:szCs w:val="27"/>
        </w:rPr>
      </w:pPr>
      <w:r w:rsidRPr="005B56EC">
        <w:rPr>
          <w:rFonts w:eastAsiaTheme="minorHAnsi"/>
          <w:sz w:val="27"/>
          <w:szCs w:val="27"/>
        </w:rPr>
        <w:t>Копии актов прокурорского реагирования направляются в администрацию для изучения и подготовки предложений.</w:t>
      </w:r>
    </w:p>
    <w:p w14:paraId="1C2655D9" w14:textId="1A33B00F" w:rsidR="00C52E91" w:rsidRPr="000F3E9F" w:rsidRDefault="00C52E91" w:rsidP="00643209">
      <w:pPr>
        <w:pStyle w:val="ConsPlusNormal"/>
        <w:spacing w:line="276" w:lineRule="auto"/>
        <w:ind w:firstLine="709"/>
        <w:jc w:val="both"/>
        <w:rPr>
          <w:bCs/>
          <w:sz w:val="27"/>
          <w:szCs w:val="27"/>
        </w:rPr>
      </w:pPr>
      <w:r w:rsidRPr="000F3E9F">
        <w:rPr>
          <w:bCs/>
          <w:sz w:val="27"/>
          <w:szCs w:val="27"/>
        </w:rPr>
        <w:t>Акты прокурорского реагирования рассматриваются на ближайшем заседании Думы.</w:t>
      </w:r>
    </w:p>
    <w:p w14:paraId="42C217EF" w14:textId="24E52288" w:rsidR="009414ED" w:rsidRPr="005B56EC" w:rsidRDefault="009414ED" w:rsidP="00643209">
      <w:pPr>
        <w:pStyle w:val="a9"/>
        <w:spacing w:line="276" w:lineRule="auto"/>
        <w:ind w:firstLine="709"/>
        <w:jc w:val="both"/>
        <w:rPr>
          <w:rFonts w:ascii="Times New Roman" w:hAnsi="Times New Roman"/>
          <w:sz w:val="27"/>
          <w:szCs w:val="27"/>
        </w:rPr>
      </w:pPr>
      <w:r w:rsidRPr="005B56EC">
        <w:rPr>
          <w:rFonts w:ascii="Times New Roman" w:hAnsi="Times New Roman"/>
          <w:sz w:val="27"/>
          <w:szCs w:val="27"/>
          <w:lang w:eastAsia="ru-RU"/>
        </w:rPr>
        <w:t xml:space="preserve">Как следует из протеста прокурора, </w:t>
      </w:r>
      <w:r w:rsidRPr="005B56EC">
        <w:rPr>
          <w:rFonts w:ascii="Times New Roman" w:hAnsi="Times New Roman"/>
          <w:sz w:val="27"/>
          <w:szCs w:val="27"/>
        </w:rPr>
        <w:t xml:space="preserve">Положение о муниципальном контроле </w:t>
      </w:r>
      <w:r w:rsidR="009253D1" w:rsidRPr="005B56EC">
        <w:rPr>
          <w:rFonts w:ascii="Times New Roman" w:hAnsi="Times New Roman"/>
          <w:sz w:val="27"/>
          <w:szCs w:val="27"/>
        </w:rPr>
        <w:t xml:space="preserve">на автомобильном транспорте, городском наземном электрическом транспорте и в дорожном хозяйстве в границах городского округа Тольятти </w:t>
      </w:r>
      <w:r w:rsidRPr="005B56EC">
        <w:rPr>
          <w:rFonts w:ascii="Times New Roman" w:hAnsi="Times New Roman"/>
          <w:sz w:val="27"/>
          <w:szCs w:val="27"/>
        </w:rPr>
        <w:t xml:space="preserve">(далее - Положение), утвержденное решением Думы городского округа Тольятти от </w:t>
      </w:r>
      <w:r w:rsidR="009253D1" w:rsidRPr="005B56EC">
        <w:rPr>
          <w:rFonts w:ascii="Times New Roman" w:hAnsi="Times New Roman"/>
          <w:sz w:val="27"/>
          <w:szCs w:val="27"/>
        </w:rPr>
        <w:t>10</w:t>
      </w:r>
      <w:r w:rsidRPr="005B56EC">
        <w:rPr>
          <w:rFonts w:ascii="Times New Roman" w:hAnsi="Times New Roman"/>
          <w:sz w:val="27"/>
          <w:szCs w:val="27"/>
        </w:rPr>
        <w:t>.11.2021 №1</w:t>
      </w:r>
      <w:r w:rsidR="009253D1" w:rsidRPr="005B56EC">
        <w:rPr>
          <w:rFonts w:ascii="Times New Roman" w:hAnsi="Times New Roman"/>
          <w:sz w:val="27"/>
          <w:szCs w:val="27"/>
        </w:rPr>
        <w:t>098</w:t>
      </w:r>
      <w:r w:rsidRPr="005B56EC">
        <w:rPr>
          <w:rFonts w:ascii="Times New Roman" w:hAnsi="Times New Roman"/>
          <w:sz w:val="27"/>
          <w:szCs w:val="27"/>
        </w:rPr>
        <w:t>, а именно пункты 1,</w:t>
      </w:r>
      <w:r w:rsidR="009253D1" w:rsidRPr="005B56EC">
        <w:rPr>
          <w:rFonts w:ascii="Times New Roman" w:hAnsi="Times New Roman"/>
          <w:sz w:val="27"/>
          <w:szCs w:val="27"/>
        </w:rPr>
        <w:t>2</w:t>
      </w:r>
      <w:r w:rsidRPr="005B56EC">
        <w:rPr>
          <w:rFonts w:ascii="Times New Roman" w:hAnsi="Times New Roman"/>
          <w:sz w:val="27"/>
          <w:szCs w:val="27"/>
        </w:rPr>
        <w:t>,</w:t>
      </w:r>
      <w:r w:rsidR="009253D1" w:rsidRPr="005B56EC">
        <w:rPr>
          <w:rFonts w:ascii="Times New Roman" w:hAnsi="Times New Roman"/>
          <w:sz w:val="27"/>
          <w:szCs w:val="27"/>
        </w:rPr>
        <w:t>3,5,6,7,8</w:t>
      </w:r>
      <w:r w:rsidRPr="005B56EC">
        <w:rPr>
          <w:rFonts w:ascii="Times New Roman" w:hAnsi="Times New Roman"/>
          <w:sz w:val="27"/>
          <w:szCs w:val="27"/>
        </w:rPr>
        <w:t xml:space="preserve"> приложения № </w:t>
      </w:r>
      <w:r w:rsidR="009253D1" w:rsidRPr="005B56EC">
        <w:rPr>
          <w:rFonts w:ascii="Times New Roman" w:hAnsi="Times New Roman"/>
          <w:sz w:val="27"/>
          <w:szCs w:val="27"/>
        </w:rPr>
        <w:t>2</w:t>
      </w:r>
      <w:r w:rsidRPr="005B56EC">
        <w:rPr>
          <w:rFonts w:ascii="Times New Roman" w:hAnsi="Times New Roman"/>
          <w:sz w:val="27"/>
          <w:szCs w:val="27"/>
        </w:rPr>
        <w:t>, которым установлены индикаторы риска нарушения обязательных требований, не в полной мере соответствуют действующему законодательству Российской Федерации.</w:t>
      </w:r>
    </w:p>
    <w:p w14:paraId="2B1D00F2" w14:textId="0136F5CF" w:rsidR="009414ED" w:rsidRPr="005B56EC" w:rsidRDefault="009414ED" w:rsidP="00643209">
      <w:pPr>
        <w:pStyle w:val="a9"/>
        <w:spacing w:line="276" w:lineRule="auto"/>
        <w:ind w:firstLine="709"/>
        <w:jc w:val="both"/>
        <w:rPr>
          <w:rFonts w:ascii="Times New Roman" w:hAnsi="Times New Roman"/>
          <w:sz w:val="27"/>
          <w:szCs w:val="27"/>
        </w:rPr>
      </w:pPr>
      <w:r w:rsidRPr="005B56EC">
        <w:rPr>
          <w:rFonts w:ascii="Times New Roman" w:hAnsi="Times New Roman"/>
          <w:sz w:val="27"/>
          <w:szCs w:val="27"/>
        </w:rPr>
        <w:t>В обоснование своих требований и.о. прокурор</w:t>
      </w:r>
      <w:r w:rsidR="005B56EC" w:rsidRPr="005B56EC">
        <w:rPr>
          <w:rFonts w:ascii="Times New Roman" w:hAnsi="Times New Roman"/>
          <w:sz w:val="27"/>
          <w:szCs w:val="27"/>
        </w:rPr>
        <w:t>а</w:t>
      </w:r>
      <w:r w:rsidRPr="005B56EC">
        <w:rPr>
          <w:rFonts w:ascii="Times New Roman" w:hAnsi="Times New Roman"/>
          <w:sz w:val="27"/>
          <w:szCs w:val="27"/>
        </w:rPr>
        <w:t xml:space="preserve"> г. Тольятти ссылается на то, что оспариваемые индикаторы риска являются основаниями для привлечения к административной ответственности в соответствии </w:t>
      </w:r>
      <w:r w:rsidR="00C24A56" w:rsidRPr="005B56EC">
        <w:rPr>
          <w:rFonts w:ascii="Times New Roman" w:hAnsi="Times New Roman"/>
          <w:sz w:val="27"/>
          <w:szCs w:val="27"/>
        </w:rPr>
        <w:t>со</w:t>
      </w:r>
      <w:r w:rsidRPr="005B56EC">
        <w:rPr>
          <w:rFonts w:ascii="Times New Roman" w:hAnsi="Times New Roman"/>
          <w:sz w:val="27"/>
          <w:szCs w:val="27"/>
        </w:rPr>
        <w:t xml:space="preserve"> ст. </w:t>
      </w:r>
      <w:r w:rsidR="009253D1" w:rsidRPr="005B56EC">
        <w:rPr>
          <w:rFonts w:ascii="Times New Roman" w:hAnsi="Times New Roman"/>
          <w:sz w:val="27"/>
          <w:szCs w:val="27"/>
        </w:rPr>
        <w:t xml:space="preserve">12.34 </w:t>
      </w:r>
      <w:r w:rsidRPr="005B56EC">
        <w:rPr>
          <w:rFonts w:ascii="Times New Roman" w:hAnsi="Times New Roman"/>
          <w:sz w:val="27"/>
          <w:szCs w:val="27"/>
        </w:rPr>
        <w:t>КоАП РФ, что противоречит части 9 статьи 23 Федерального закона от 31.07.2020 № 248-ФЗ «О государственном контроле (надзоре) и муниципальном контроле в Российской Федерации» (далее – Федеральный закон № 248-ФЗ), предусматривающей, что индикатором риска нарушения обязательных требований (далее - индикаторы)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5757D964" w14:textId="46B6B22C" w:rsidR="008C0860" w:rsidRPr="005B56EC" w:rsidRDefault="008C0860" w:rsidP="008C0860">
      <w:pPr>
        <w:pStyle w:val="ConsPlusNormal"/>
        <w:spacing w:line="276" w:lineRule="auto"/>
        <w:ind w:firstLine="709"/>
        <w:jc w:val="both"/>
        <w:rPr>
          <w:sz w:val="27"/>
          <w:szCs w:val="27"/>
        </w:rPr>
      </w:pPr>
      <w:r w:rsidRPr="005B56EC">
        <w:rPr>
          <w:sz w:val="27"/>
          <w:szCs w:val="27"/>
        </w:rPr>
        <w:t>С доводами и.о. прокурора города Тольятти</w:t>
      </w:r>
      <w:r w:rsidR="005B56EC" w:rsidRPr="005B56EC">
        <w:rPr>
          <w:sz w:val="27"/>
          <w:szCs w:val="27"/>
        </w:rPr>
        <w:t>,</w:t>
      </w:r>
      <w:r w:rsidRPr="005B56EC">
        <w:rPr>
          <w:sz w:val="27"/>
          <w:szCs w:val="27"/>
        </w:rPr>
        <w:t xml:space="preserve"> изложенными в протесте</w:t>
      </w:r>
      <w:r w:rsidR="005B56EC" w:rsidRPr="005B56EC">
        <w:rPr>
          <w:sz w:val="27"/>
          <w:szCs w:val="27"/>
        </w:rPr>
        <w:t>,</w:t>
      </w:r>
      <w:r w:rsidRPr="005B56EC">
        <w:rPr>
          <w:sz w:val="27"/>
          <w:szCs w:val="27"/>
        </w:rPr>
        <w:t xml:space="preserve"> следует не согласится на основании следующего.</w:t>
      </w:r>
    </w:p>
    <w:p w14:paraId="603BB654" w14:textId="076A000A"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 xml:space="preserve">В соответствии с </w:t>
      </w:r>
      <w:hyperlink r:id="rId8" w:history="1">
        <w:r w:rsidRPr="005B56EC">
          <w:rPr>
            <w:rFonts w:eastAsiaTheme="minorHAnsi"/>
            <w:color w:val="0000FF"/>
            <w:sz w:val="27"/>
            <w:szCs w:val="27"/>
          </w:rPr>
          <w:t>частью 9 статьи 23</w:t>
        </w:r>
      </w:hyperlink>
      <w:r w:rsidRPr="005B56EC">
        <w:rPr>
          <w:rFonts w:eastAsiaTheme="minorHAnsi"/>
          <w:sz w:val="27"/>
          <w:szCs w:val="27"/>
        </w:rPr>
        <w:t xml:space="preserve"> Федеральный закон № 248-ФЗ индикаторы риска нарушения обязательных требований отнесены к системе оценки и управления рисками причинения вреда (ущерба) охраняемым законом ценностям и разрабатываются в целях оценки риска причинения вреда (ущерба) </w:t>
      </w:r>
      <w:r w:rsidRPr="005B56EC">
        <w:rPr>
          <w:rFonts w:eastAsiaTheme="minorHAnsi"/>
          <w:sz w:val="27"/>
          <w:szCs w:val="27"/>
        </w:rPr>
        <w:lastRenderedPageBreak/>
        <w:t xml:space="preserve">при принятии решения о проведении и выборе вида внепланового контрольного (надзорного) мероприятия. </w:t>
      </w:r>
      <w:bookmarkStart w:id="1" w:name="_Hlk133235817"/>
    </w:p>
    <w:bookmarkEnd w:id="1"/>
    <w:p w14:paraId="6DCEAF05"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 xml:space="preserve">Согласно </w:t>
      </w:r>
      <w:hyperlink r:id="rId9" w:history="1">
        <w:r w:rsidRPr="005B56EC">
          <w:rPr>
            <w:rFonts w:eastAsiaTheme="minorHAnsi"/>
            <w:color w:val="0000FF"/>
            <w:sz w:val="27"/>
            <w:szCs w:val="27"/>
          </w:rPr>
          <w:t>пункту 1 части 1 статьи 57</w:t>
        </w:r>
      </w:hyperlink>
      <w:r w:rsidRPr="005B56EC">
        <w:rPr>
          <w:rFonts w:eastAsiaTheme="minorHAnsi"/>
          <w:sz w:val="27"/>
          <w:szCs w:val="27"/>
        </w:rPr>
        <w:t xml:space="preserve"> Федерального закона 248-ФЗ основанием для проведения контрольных (надзорных) мероприятий, за исключением случаев, указанных в </w:t>
      </w:r>
      <w:hyperlink r:id="rId10" w:history="1">
        <w:r w:rsidRPr="005B56EC">
          <w:rPr>
            <w:rFonts w:eastAsiaTheme="minorHAnsi"/>
            <w:color w:val="0000FF"/>
            <w:sz w:val="27"/>
            <w:szCs w:val="27"/>
          </w:rPr>
          <w:t>части 2</w:t>
        </w:r>
      </w:hyperlink>
      <w:r w:rsidRPr="005B56EC">
        <w:rPr>
          <w:rFonts w:eastAsiaTheme="minorHAnsi"/>
          <w:sz w:val="27"/>
          <w:szCs w:val="27"/>
        </w:rPr>
        <w:t xml:space="preserve"> настоящей статьи, может быть, в том числе,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2D1D5259"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Таким образом индикаторами риска могут быть только измеримые параметры деятельности объекта контроля.</w:t>
      </w:r>
    </w:p>
    <w:p w14:paraId="58ECD9CD"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При этом формулировка индикаторов риска в положении о виде контроля должна позволять провести однозначную оценку объекта контроля на предмет его соответствия либо несоответствия таким параметрам.</w:t>
      </w:r>
    </w:p>
    <w:p w14:paraId="116C7387"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 xml:space="preserve">Согласно </w:t>
      </w:r>
      <w:hyperlink r:id="rId11" w:history="1">
        <w:r w:rsidRPr="005B56EC">
          <w:rPr>
            <w:rFonts w:eastAsiaTheme="minorHAnsi"/>
            <w:color w:val="0000FF"/>
            <w:sz w:val="27"/>
            <w:szCs w:val="27"/>
          </w:rPr>
          <w:t>статье 24</w:t>
        </w:r>
      </w:hyperlink>
      <w:r w:rsidRPr="005B56EC">
        <w:rPr>
          <w:rFonts w:eastAsiaTheme="minorHAnsi"/>
          <w:sz w:val="27"/>
          <w:szCs w:val="27"/>
        </w:rPr>
        <w:t xml:space="preserve"> Федерального закона 248-ФЗ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14:paraId="0898C4A8"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w:t>
      </w:r>
    </w:p>
    <w:p w14:paraId="1DEBD785" w14:textId="44A901F5" w:rsidR="005B56EC"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 xml:space="preserve">Следовательно, индикатор риска должен быть сформулирован и установлен таким образом, чтобы обеспечивалась возможность его выявления на основании </w:t>
      </w:r>
      <w:r w:rsidRPr="005B56EC">
        <w:rPr>
          <w:rFonts w:eastAsiaTheme="minorHAnsi"/>
          <w:sz w:val="27"/>
          <w:szCs w:val="27"/>
        </w:rPr>
        <w:lastRenderedPageBreak/>
        <w:t>достоверных данных.</w:t>
      </w:r>
      <w:r w:rsidR="005B56EC" w:rsidRPr="005B56EC">
        <w:rPr>
          <w:rFonts w:eastAsiaTheme="minorHAnsi"/>
          <w:sz w:val="27"/>
          <w:szCs w:val="27"/>
        </w:rPr>
        <w:t xml:space="preserve"> Использование информации в качестве элемента индикатора риска не свидетельствует о несоответствии оспариваемого Положения требованиям Федерального закона №248-ФЗ.</w:t>
      </w:r>
    </w:p>
    <w:p w14:paraId="5E88D136" w14:textId="77777777" w:rsidR="008C0860" w:rsidRPr="005B56EC" w:rsidRDefault="008C0860" w:rsidP="008C08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На основании вышеизложенного, следует что индикаторы риска служат для определения контрольным (надзорным) органом степени риска нарушения обязательных требований в контролируемой сфере и для принятия решения о проведении и выборе вида внепланового контрольного (надзорного) мероприятия в отношении контролируемых лиц.</w:t>
      </w:r>
    </w:p>
    <w:p w14:paraId="0C7F4CDF" w14:textId="760EE5DC" w:rsidR="00C41A60" w:rsidRPr="005B56EC" w:rsidRDefault="00C41A60" w:rsidP="00C41A60">
      <w:pPr>
        <w:autoSpaceDE w:val="0"/>
        <w:autoSpaceDN w:val="0"/>
        <w:adjustRightInd w:val="0"/>
        <w:spacing w:line="276" w:lineRule="auto"/>
        <w:ind w:firstLine="540"/>
        <w:rPr>
          <w:rFonts w:eastAsiaTheme="minorHAnsi"/>
          <w:sz w:val="27"/>
          <w:szCs w:val="27"/>
        </w:rPr>
      </w:pPr>
      <w:r w:rsidRPr="005B56EC">
        <w:rPr>
          <w:rFonts w:eastAsiaTheme="minorHAnsi"/>
          <w:sz w:val="27"/>
          <w:szCs w:val="27"/>
        </w:rPr>
        <w:t>Таким образом, индикат</w:t>
      </w:r>
      <w:r w:rsidR="00290BB0" w:rsidRPr="005B56EC">
        <w:rPr>
          <w:rFonts w:eastAsiaTheme="minorHAnsi"/>
          <w:sz w:val="27"/>
          <w:szCs w:val="27"/>
        </w:rPr>
        <w:t>о</w:t>
      </w:r>
      <w:r w:rsidRPr="005B56EC">
        <w:rPr>
          <w:rFonts w:eastAsiaTheme="minorHAnsi"/>
          <w:sz w:val="27"/>
          <w:szCs w:val="27"/>
        </w:rPr>
        <w:t>ры риска</w:t>
      </w:r>
      <w:r w:rsidR="00622576" w:rsidRPr="005B56EC">
        <w:rPr>
          <w:rFonts w:eastAsiaTheme="minorHAnsi"/>
          <w:sz w:val="27"/>
          <w:szCs w:val="27"/>
        </w:rPr>
        <w:t>,</w:t>
      </w:r>
      <w:r w:rsidRPr="005B56EC">
        <w:rPr>
          <w:rFonts w:eastAsiaTheme="minorHAnsi"/>
          <w:sz w:val="27"/>
          <w:szCs w:val="27"/>
        </w:rPr>
        <w:t xml:space="preserve"> указанные в Приложении №</w:t>
      </w:r>
      <w:r w:rsidR="009253D1" w:rsidRPr="005B56EC">
        <w:rPr>
          <w:rFonts w:eastAsiaTheme="minorHAnsi"/>
          <w:sz w:val="27"/>
          <w:szCs w:val="27"/>
        </w:rPr>
        <w:t>2</w:t>
      </w:r>
      <w:r w:rsidRPr="005B56EC">
        <w:rPr>
          <w:rFonts w:eastAsiaTheme="minorHAnsi"/>
          <w:sz w:val="27"/>
          <w:szCs w:val="27"/>
        </w:rPr>
        <w:t xml:space="preserve"> к Положению, представляют собой факт возможного возникновения события или изменения текущего состояния объекта муниципального контроля, предметом которого является</w:t>
      </w:r>
      <w:r w:rsidR="00B17A85" w:rsidRPr="005B56EC">
        <w:rPr>
          <w:rFonts w:eastAsiaTheme="minorHAnsi"/>
          <w:sz w:val="27"/>
          <w:szCs w:val="27"/>
        </w:rPr>
        <w:t xml:space="preserve"> соблюдение</w:t>
      </w:r>
      <w:r w:rsidRPr="005B56EC">
        <w:rPr>
          <w:rFonts w:eastAsiaTheme="minorHAnsi"/>
          <w:sz w:val="27"/>
          <w:szCs w:val="27"/>
        </w:rPr>
        <w:t xml:space="preserve"> </w:t>
      </w:r>
      <w:r w:rsidR="00290BB0" w:rsidRPr="005B56EC">
        <w:rPr>
          <w:rFonts w:eastAsiaTheme="minorHAnsi"/>
          <w:sz w:val="27"/>
          <w:szCs w:val="27"/>
        </w:rPr>
        <w:t xml:space="preserve">контролируемым лицом </w:t>
      </w:r>
      <w:r w:rsidR="009253D1" w:rsidRPr="005B56EC">
        <w:rPr>
          <w:rFonts w:eastAsiaTheme="minorHAnsi"/>
          <w:sz w:val="27"/>
          <w:szCs w:val="27"/>
        </w:rPr>
        <w:t>в области автомобильных дорог и дорожной деятельности.</w:t>
      </w:r>
    </w:p>
    <w:p w14:paraId="2AFC2F04" w14:textId="5DE2E36E" w:rsidR="00CF6536" w:rsidRPr="005B56EC" w:rsidRDefault="00C41A60" w:rsidP="00C41A60">
      <w:pPr>
        <w:autoSpaceDE w:val="0"/>
        <w:autoSpaceDN w:val="0"/>
        <w:adjustRightInd w:val="0"/>
        <w:spacing w:line="276" w:lineRule="auto"/>
        <w:ind w:firstLine="567"/>
        <w:outlineLvl w:val="0"/>
        <w:rPr>
          <w:rFonts w:eastAsiaTheme="minorHAnsi"/>
          <w:sz w:val="27"/>
          <w:szCs w:val="27"/>
        </w:rPr>
      </w:pPr>
      <w:r w:rsidRPr="005B56EC">
        <w:rPr>
          <w:rFonts w:eastAsiaTheme="minorHAnsi"/>
          <w:sz w:val="27"/>
          <w:szCs w:val="27"/>
        </w:rPr>
        <w:t>Таким образом вышеперечисленные индикаторы риска не являются безусловным нарушением действующего законодательства</w:t>
      </w:r>
      <w:r w:rsidR="00C24A56" w:rsidRPr="005B56EC">
        <w:rPr>
          <w:rFonts w:eastAsiaTheme="minorHAnsi"/>
          <w:sz w:val="27"/>
          <w:szCs w:val="27"/>
        </w:rPr>
        <w:t>,</w:t>
      </w:r>
      <w:r w:rsidRPr="005B56EC">
        <w:rPr>
          <w:rFonts w:eastAsiaTheme="minorHAnsi"/>
          <w:sz w:val="27"/>
          <w:szCs w:val="27"/>
        </w:rPr>
        <w:t xml:space="preserve"> за которые предусмотрена административная ответственность.</w:t>
      </w:r>
    </w:p>
    <w:p w14:paraId="20BE0569" w14:textId="77777777" w:rsidR="00F00A5F" w:rsidRPr="005B56EC" w:rsidRDefault="00F00A5F" w:rsidP="00F00A5F">
      <w:pPr>
        <w:pStyle w:val="a9"/>
        <w:spacing w:line="276" w:lineRule="auto"/>
        <w:ind w:firstLine="709"/>
        <w:jc w:val="both"/>
        <w:rPr>
          <w:rFonts w:ascii="Times New Roman" w:hAnsi="Times New Roman"/>
          <w:sz w:val="27"/>
          <w:szCs w:val="27"/>
        </w:rPr>
      </w:pPr>
      <w:r w:rsidRPr="005B56EC">
        <w:rPr>
          <w:rFonts w:ascii="Times New Roman" w:hAnsi="Times New Roman"/>
          <w:sz w:val="27"/>
          <w:szCs w:val="27"/>
        </w:rPr>
        <w:t xml:space="preserve">Статья 99 Регламента Думы предусматривает, что заключение юридического управления должно содержать рекомендации по принятию Думой решения.  </w:t>
      </w:r>
    </w:p>
    <w:p w14:paraId="5FDE3299" w14:textId="03E2AB68" w:rsidR="00945697" w:rsidRPr="005B56EC" w:rsidRDefault="00945697" w:rsidP="00F00A5F">
      <w:pPr>
        <w:spacing w:line="276" w:lineRule="auto"/>
        <w:ind w:firstLine="709"/>
        <w:rPr>
          <w:b/>
          <w:sz w:val="27"/>
          <w:szCs w:val="27"/>
        </w:rPr>
      </w:pPr>
      <w:r w:rsidRPr="005B56EC">
        <w:rPr>
          <w:b/>
          <w:sz w:val="27"/>
          <w:szCs w:val="27"/>
        </w:rPr>
        <w:t xml:space="preserve">С учетом изложенного, предлагается </w:t>
      </w:r>
      <w:r w:rsidR="0074138E" w:rsidRPr="005B56EC">
        <w:rPr>
          <w:b/>
          <w:sz w:val="27"/>
          <w:szCs w:val="27"/>
        </w:rPr>
        <w:t>протест</w:t>
      </w:r>
      <w:r w:rsidRPr="005B56EC">
        <w:rPr>
          <w:b/>
          <w:sz w:val="27"/>
          <w:szCs w:val="27"/>
        </w:rPr>
        <w:t xml:space="preserve"> исполняющего обязанности прокурора города Тольятти </w:t>
      </w:r>
      <w:r w:rsidR="00F00A5F" w:rsidRPr="005B56EC">
        <w:rPr>
          <w:b/>
          <w:sz w:val="27"/>
          <w:szCs w:val="27"/>
        </w:rPr>
        <w:t>отклонить.</w:t>
      </w:r>
      <w:r w:rsidRPr="005B56EC">
        <w:rPr>
          <w:b/>
          <w:sz w:val="27"/>
          <w:szCs w:val="27"/>
        </w:rPr>
        <w:t xml:space="preserve"> </w:t>
      </w:r>
    </w:p>
    <w:p w14:paraId="6A480A72" w14:textId="77777777" w:rsidR="00783723" w:rsidRPr="005B56EC" w:rsidRDefault="00783723" w:rsidP="00D5335E">
      <w:pPr>
        <w:autoSpaceDE w:val="0"/>
        <w:autoSpaceDN w:val="0"/>
        <w:adjustRightInd w:val="0"/>
        <w:spacing w:line="276" w:lineRule="auto"/>
        <w:ind w:firstLine="709"/>
        <w:rPr>
          <w:rFonts w:eastAsiaTheme="minorHAnsi"/>
          <w:sz w:val="27"/>
          <w:szCs w:val="27"/>
        </w:rPr>
      </w:pPr>
      <w:r w:rsidRPr="005B56EC">
        <w:rPr>
          <w:sz w:val="27"/>
          <w:szCs w:val="27"/>
        </w:rPr>
        <w:t>В соответствии с частью 1 статьи 101 Регламента Думы городского округа к</w:t>
      </w:r>
      <w:r w:rsidRPr="005B56EC">
        <w:rPr>
          <w:rFonts w:eastAsiaTheme="minorHAnsi"/>
          <w:sz w:val="27"/>
          <w:szCs w:val="27"/>
        </w:rPr>
        <w:t>омиссии рассматривают представленные документы (акты прокурорского реагирования, отклоненные главой городского округа решения) и по итогам их рассмотрения готовят проект решения Думы с учетом рекомендаций юридического управления.</w:t>
      </w:r>
    </w:p>
    <w:p w14:paraId="68C5A2B6" w14:textId="77777777" w:rsidR="00C52E91" w:rsidRPr="005B56EC" w:rsidRDefault="00C52E91" w:rsidP="00D5335E">
      <w:pPr>
        <w:autoSpaceDE w:val="0"/>
        <w:autoSpaceDN w:val="0"/>
        <w:adjustRightInd w:val="0"/>
        <w:spacing w:line="276" w:lineRule="auto"/>
        <w:ind w:firstLine="709"/>
        <w:rPr>
          <w:sz w:val="27"/>
          <w:szCs w:val="27"/>
        </w:rPr>
      </w:pPr>
      <w:r w:rsidRPr="005B56EC">
        <w:rPr>
          <w:sz w:val="27"/>
          <w:szCs w:val="27"/>
        </w:rPr>
        <w:t>Представленный вопрос относится к предметам ведения постоянной комиссии Думы городского округа по городскому хозяйству.</w:t>
      </w:r>
    </w:p>
    <w:p w14:paraId="00FFFE28" w14:textId="77777777" w:rsidR="00C52E91" w:rsidRPr="005B56EC" w:rsidRDefault="00C52E91" w:rsidP="00D5335E">
      <w:pPr>
        <w:spacing w:line="276" w:lineRule="auto"/>
        <w:rPr>
          <w:sz w:val="27"/>
          <w:szCs w:val="27"/>
        </w:rPr>
      </w:pPr>
      <w:r w:rsidRPr="005B56EC">
        <w:rPr>
          <w:sz w:val="27"/>
          <w:szCs w:val="27"/>
        </w:rPr>
        <w:tab/>
      </w:r>
      <w:r w:rsidRPr="005B56EC">
        <w:rPr>
          <w:b/>
          <w:sz w:val="27"/>
          <w:szCs w:val="27"/>
        </w:rPr>
        <w:t>Вывод:</w:t>
      </w:r>
      <w:r w:rsidRPr="005B56EC">
        <w:rPr>
          <w:sz w:val="27"/>
          <w:szCs w:val="27"/>
        </w:rPr>
        <w:t xml:space="preserve"> представленный вопрос находится в компетенции Думы городского округа и может быть рассмотрен на ее заседании.</w:t>
      </w:r>
    </w:p>
    <w:p w14:paraId="46397AEA" w14:textId="77777777" w:rsidR="005B56EC" w:rsidRDefault="005B56EC" w:rsidP="00C52E91">
      <w:pPr>
        <w:ind w:firstLine="709"/>
        <w:rPr>
          <w:b/>
          <w:sz w:val="27"/>
          <w:szCs w:val="27"/>
        </w:rPr>
      </w:pPr>
    </w:p>
    <w:p w14:paraId="4591A5AA" w14:textId="77777777" w:rsidR="005B56EC" w:rsidRDefault="005B56EC" w:rsidP="00C52E91">
      <w:pPr>
        <w:ind w:firstLine="709"/>
        <w:rPr>
          <w:b/>
          <w:sz w:val="27"/>
          <w:szCs w:val="27"/>
        </w:rPr>
      </w:pPr>
    </w:p>
    <w:p w14:paraId="10151C5B" w14:textId="25A85355" w:rsidR="00C52E91" w:rsidRPr="005B56EC" w:rsidRDefault="00290BB0" w:rsidP="00C52E91">
      <w:pPr>
        <w:ind w:firstLine="709"/>
        <w:rPr>
          <w:b/>
          <w:sz w:val="27"/>
          <w:szCs w:val="27"/>
        </w:rPr>
      </w:pPr>
      <w:r w:rsidRPr="005B56EC">
        <w:rPr>
          <w:b/>
          <w:sz w:val="27"/>
          <w:szCs w:val="27"/>
        </w:rPr>
        <w:t>Начальник</w:t>
      </w:r>
      <w:r w:rsidR="00C52E91" w:rsidRPr="005B56EC">
        <w:rPr>
          <w:b/>
          <w:sz w:val="27"/>
          <w:szCs w:val="27"/>
        </w:rPr>
        <w:t xml:space="preserve"> </w:t>
      </w:r>
    </w:p>
    <w:p w14:paraId="73A5D811" w14:textId="77777777" w:rsidR="0059797D" w:rsidRPr="005B56EC" w:rsidRDefault="00C52E91">
      <w:pPr>
        <w:rPr>
          <w:b/>
          <w:sz w:val="27"/>
          <w:szCs w:val="27"/>
        </w:rPr>
      </w:pPr>
      <w:r w:rsidRPr="005B56EC">
        <w:rPr>
          <w:b/>
          <w:sz w:val="27"/>
          <w:szCs w:val="27"/>
        </w:rPr>
        <w:t xml:space="preserve">юридического </w:t>
      </w:r>
      <w:r w:rsidR="00290BB0" w:rsidRPr="005B56EC">
        <w:rPr>
          <w:b/>
          <w:sz w:val="27"/>
          <w:szCs w:val="27"/>
        </w:rPr>
        <w:t xml:space="preserve">отдела </w:t>
      </w:r>
      <w:r w:rsidRPr="005B56EC">
        <w:rPr>
          <w:b/>
          <w:sz w:val="27"/>
          <w:szCs w:val="27"/>
        </w:rPr>
        <w:tab/>
      </w:r>
      <w:r w:rsidRPr="005B56EC">
        <w:rPr>
          <w:b/>
          <w:sz w:val="27"/>
          <w:szCs w:val="27"/>
        </w:rPr>
        <w:tab/>
      </w:r>
      <w:r w:rsidRPr="005B56EC">
        <w:rPr>
          <w:b/>
          <w:sz w:val="27"/>
          <w:szCs w:val="27"/>
        </w:rPr>
        <w:tab/>
        <w:t xml:space="preserve">           </w:t>
      </w:r>
      <w:r w:rsidRPr="005B56EC">
        <w:rPr>
          <w:b/>
          <w:sz w:val="27"/>
          <w:szCs w:val="27"/>
        </w:rPr>
        <w:tab/>
      </w:r>
      <w:r w:rsidR="00290BB0" w:rsidRPr="005B56EC">
        <w:rPr>
          <w:b/>
          <w:sz w:val="27"/>
          <w:szCs w:val="27"/>
        </w:rPr>
        <w:t xml:space="preserve">                      Е</w:t>
      </w:r>
      <w:r w:rsidRPr="005B56EC">
        <w:rPr>
          <w:b/>
          <w:sz w:val="27"/>
          <w:szCs w:val="27"/>
        </w:rPr>
        <w:t xml:space="preserve">.В. </w:t>
      </w:r>
      <w:r w:rsidR="00290BB0" w:rsidRPr="005B56EC">
        <w:rPr>
          <w:b/>
          <w:sz w:val="27"/>
          <w:szCs w:val="27"/>
        </w:rPr>
        <w:t>Смирнова</w:t>
      </w:r>
    </w:p>
    <w:p w14:paraId="6C509370" w14:textId="77777777" w:rsidR="005B56EC" w:rsidRDefault="005B56EC">
      <w:pPr>
        <w:rPr>
          <w:szCs w:val="24"/>
        </w:rPr>
      </w:pPr>
    </w:p>
    <w:p w14:paraId="12F72C8C" w14:textId="77777777" w:rsidR="005B56EC" w:rsidRDefault="005B56EC">
      <w:pPr>
        <w:rPr>
          <w:szCs w:val="24"/>
        </w:rPr>
      </w:pPr>
    </w:p>
    <w:p w14:paraId="2B0D8787" w14:textId="77777777" w:rsidR="005B56EC" w:rsidRDefault="005B56EC">
      <w:pPr>
        <w:rPr>
          <w:szCs w:val="24"/>
        </w:rPr>
      </w:pPr>
    </w:p>
    <w:p w14:paraId="5DE30768" w14:textId="77777777" w:rsidR="005B56EC" w:rsidRDefault="005B56EC">
      <w:pPr>
        <w:rPr>
          <w:szCs w:val="24"/>
        </w:rPr>
      </w:pPr>
    </w:p>
    <w:p w14:paraId="3D71E87D" w14:textId="77777777" w:rsidR="005B56EC" w:rsidRDefault="005B56EC">
      <w:pPr>
        <w:rPr>
          <w:szCs w:val="24"/>
        </w:rPr>
      </w:pPr>
    </w:p>
    <w:p w14:paraId="17408F04" w14:textId="69A015D1" w:rsidR="001D0485" w:rsidRDefault="00C52E91">
      <w:pPr>
        <w:rPr>
          <w:szCs w:val="24"/>
        </w:rPr>
      </w:pPr>
      <w:r>
        <w:rPr>
          <w:szCs w:val="24"/>
        </w:rPr>
        <w:t>Майорова</w:t>
      </w:r>
      <w:r w:rsidR="001D0485">
        <w:rPr>
          <w:szCs w:val="24"/>
        </w:rPr>
        <w:t xml:space="preserve"> </w:t>
      </w:r>
    </w:p>
    <w:p w14:paraId="166D9C26" w14:textId="70C3BFD2" w:rsidR="0028699C" w:rsidRPr="000F3E9F" w:rsidRDefault="00C52E91">
      <w:pPr>
        <w:rPr>
          <w:szCs w:val="24"/>
          <w:lang w:val="en-US"/>
        </w:rPr>
      </w:pPr>
      <w:r>
        <w:rPr>
          <w:szCs w:val="24"/>
        </w:rPr>
        <w:t>28-03-35</w:t>
      </w:r>
    </w:p>
    <w:p w14:paraId="18B4E0AF" w14:textId="6E1C5584" w:rsidR="0028699C" w:rsidRDefault="0028699C">
      <w:pPr>
        <w:rPr>
          <w:szCs w:val="24"/>
        </w:rPr>
      </w:pPr>
    </w:p>
    <w:sectPr w:rsidR="0028699C" w:rsidSect="00DA2E33">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A7C594" w14:textId="77777777" w:rsidR="00894F29" w:rsidRDefault="00894F29" w:rsidP="00DA2E33">
      <w:r>
        <w:separator/>
      </w:r>
    </w:p>
  </w:endnote>
  <w:endnote w:type="continuationSeparator" w:id="0">
    <w:p w14:paraId="7B35C77C" w14:textId="77777777" w:rsidR="00894F29" w:rsidRDefault="00894F29" w:rsidP="00DA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F4321" w14:textId="77777777" w:rsidR="00894F29" w:rsidRDefault="00894F29" w:rsidP="00DA2E33">
      <w:r>
        <w:separator/>
      </w:r>
    </w:p>
  </w:footnote>
  <w:footnote w:type="continuationSeparator" w:id="0">
    <w:p w14:paraId="69ABF092" w14:textId="77777777" w:rsidR="00894F29" w:rsidRDefault="00894F29" w:rsidP="00DA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1557906"/>
      <w:docPartObj>
        <w:docPartGallery w:val="Page Numbers (Top of Page)"/>
        <w:docPartUnique/>
      </w:docPartObj>
    </w:sdtPr>
    <w:sdtEndPr/>
    <w:sdtContent>
      <w:p w14:paraId="3022876A" w14:textId="77777777" w:rsidR="00DA2E33" w:rsidRDefault="00DA2E33">
        <w:pPr>
          <w:pStyle w:val="a5"/>
          <w:jc w:val="center"/>
        </w:pPr>
        <w:r>
          <w:fldChar w:fldCharType="begin"/>
        </w:r>
        <w:r>
          <w:instrText>PAGE   \* MERGEFORMAT</w:instrText>
        </w:r>
        <w:r>
          <w:fldChar w:fldCharType="separate"/>
        </w:r>
        <w:r w:rsidR="004A1304">
          <w:rPr>
            <w:noProof/>
          </w:rPr>
          <w:t>2</w:t>
        </w:r>
        <w:r>
          <w:fldChar w:fldCharType="end"/>
        </w:r>
      </w:p>
    </w:sdtContent>
  </w:sdt>
  <w:p w14:paraId="37B1C04E" w14:textId="77777777" w:rsidR="00DA2E33" w:rsidRDefault="00DA2E3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E91"/>
    <w:rsid w:val="00002D48"/>
    <w:rsid w:val="00003A65"/>
    <w:rsid w:val="00046E88"/>
    <w:rsid w:val="000A7E20"/>
    <w:rsid w:val="000B0C29"/>
    <w:rsid w:val="000F3E9F"/>
    <w:rsid w:val="001040D4"/>
    <w:rsid w:val="001212D3"/>
    <w:rsid w:val="00146A99"/>
    <w:rsid w:val="001A6165"/>
    <w:rsid w:val="001B7E3C"/>
    <w:rsid w:val="001D0485"/>
    <w:rsid w:val="00214B36"/>
    <w:rsid w:val="00235258"/>
    <w:rsid w:val="0028699C"/>
    <w:rsid w:val="00290BB0"/>
    <w:rsid w:val="002B392F"/>
    <w:rsid w:val="00341F1C"/>
    <w:rsid w:val="003A0309"/>
    <w:rsid w:val="003E7511"/>
    <w:rsid w:val="00433ED6"/>
    <w:rsid w:val="00471D08"/>
    <w:rsid w:val="0047531A"/>
    <w:rsid w:val="00487DC4"/>
    <w:rsid w:val="004A1304"/>
    <w:rsid w:val="004D208B"/>
    <w:rsid w:val="00590E21"/>
    <w:rsid w:val="0059797D"/>
    <w:rsid w:val="005B56EC"/>
    <w:rsid w:val="005D00B0"/>
    <w:rsid w:val="005E5D2F"/>
    <w:rsid w:val="00617C9D"/>
    <w:rsid w:val="00622576"/>
    <w:rsid w:val="00643209"/>
    <w:rsid w:val="00696C59"/>
    <w:rsid w:val="006D6D58"/>
    <w:rsid w:val="0074138E"/>
    <w:rsid w:val="00745A97"/>
    <w:rsid w:val="0077679C"/>
    <w:rsid w:val="00781845"/>
    <w:rsid w:val="00783723"/>
    <w:rsid w:val="00784D17"/>
    <w:rsid w:val="00795EE4"/>
    <w:rsid w:val="007A4589"/>
    <w:rsid w:val="008042B1"/>
    <w:rsid w:val="00811C52"/>
    <w:rsid w:val="008259E8"/>
    <w:rsid w:val="00826209"/>
    <w:rsid w:val="00852382"/>
    <w:rsid w:val="00894F29"/>
    <w:rsid w:val="008C0860"/>
    <w:rsid w:val="00923239"/>
    <w:rsid w:val="009253D1"/>
    <w:rsid w:val="00930B4F"/>
    <w:rsid w:val="009414ED"/>
    <w:rsid w:val="00943E56"/>
    <w:rsid w:val="00945697"/>
    <w:rsid w:val="00951248"/>
    <w:rsid w:val="00975E29"/>
    <w:rsid w:val="009933CA"/>
    <w:rsid w:val="009B0AB7"/>
    <w:rsid w:val="009B4FE9"/>
    <w:rsid w:val="00A15CFC"/>
    <w:rsid w:val="00A66240"/>
    <w:rsid w:val="00A70890"/>
    <w:rsid w:val="00A92DCA"/>
    <w:rsid w:val="00AD7632"/>
    <w:rsid w:val="00AE5572"/>
    <w:rsid w:val="00AF120E"/>
    <w:rsid w:val="00B17A85"/>
    <w:rsid w:val="00B85673"/>
    <w:rsid w:val="00BB3F6A"/>
    <w:rsid w:val="00BE158B"/>
    <w:rsid w:val="00C16E0C"/>
    <w:rsid w:val="00C24A56"/>
    <w:rsid w:val="00C41A60"/>
    <w:rsid w:val="00C52E91"/>
    <w:rsid w:val="00CA34D7"/>
    <w:rsid w:val="00CC6160"/>
    <w:rsid w:val="00CF6536"/>
    <w:rsid w:val="00D5335E"/>
    <w:rsid w:val="00D95795"/>
    <w:rsid w:val="00DA2E33"/>
    <w:rsid w:val="00DF28C0"/>
    <w:rsid w:val="00E00F33"/>
    <w:rsid w:val="00E050C8"/>
    <w:rsid w:val="00E3234D"/>
    <w:rsid w:val="00E87C84"/>
    <w:rsid w:val="00EA2197"/>
    <w:rsid w:val="00ED1FAE"/>
    <w:rsid w:val="00ED590A"/>
    <w:rsid w:val="00F00A5F"/>
    <w:rsid w:val="00F30A76"/>
    <w:rsid w:val="00F57F9E"/>
    <w:rsid w:val="00F71CF1"/>
    <w:rsid w:val="00FA17CC"/>
    <w:rsid w:val="00FB0B93"/>
    <w:rsid w:val="00FB4BF6"/>
    <w:rsid w:val="00FE1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E91"/>
    <w:pPr>
      <w:spacing w:after="0" w:line="240" w:lineRule="auto"/>
      <w:jc w:val="both"/>
    </w:pPr>
    <w:rPr>
      <w:rFonts w:ascii="Times New Roman" w:eastAsia="Calibri" w:hAnsi="Times New Roman" w:cs="Times New Roman"/>
      <w:sz w:val="24"/>
    </w:rPr>
  </w:style>
  <w:style w:type="paragraph" w:styleId="2">
    <w:name w:val="heading 2"/>
    <w:basedOn w:val="a"/>
    <w:next w:val="a"/>
    <w:link w:val="20"/>
    <w:qFormat/>
    <w:rsid w:val="00C52E91"/>
    <w:pPr>
      <w:keepNext/>
      <w:spacing w:before="240" w:after="60"/>
      <w:jc w:val="left"/>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52E91"/>
    <w:rPr>
      <w:rFonts w:ascii="Arial" w:eastAsia="Times New Roman" w:hAnsi="Arial" w:cs="Arial"/>
      <w:b/>
      <w:bCs/>
      <w:i/>
      <w:iCs/>
      <w:sz w:val="28"/>
      <w:szCs w:val="28"/>
      <w:lang w:eastAsia="ru-RU"/>
    </w:rPr>
  </w:style>
  <w:style w:type="paragraph" w:customStyle="1" w:styleId="ConsPlusNormal">
    <w:name w:val="ConsPlusNormal"/>
    <w:rsid w:val="00C52E91"/>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3">
    <w:name w:val="Body Text"/>
    <w:basedOn w:val="a"/>
    <w:link w:val="a4"/>
    <w:rsid w:val="00C52E91"/>
    <w:pPr>
      <w:jc w:val="center"/>
    </w:pPr>
    <w:rPr>
      <w:rFonts w:eastAsia="Times New Roman"/>
      <w:szCs w:val="20"/>
      <w:lang w:eastAsia="ru-RU"/>
    </w:rPr>
  </w:style>
  <w:style w:type="character" w:customStyle="1" w:styleId="a4">
    <w:name w:val="Основной текст Знак"/>
    <w:basedOn w:val="a0"/>
    <w:link w:val="a3"/>
    <w:rsid w:val="00C52E91"/>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DA2E33"/>
    <w:pPr>
      <w:tabs>
        <w:tab w:val="center" w:pos="4677"/>
        <w:tab w:val="right" w:pos="9355"/>
      </w:tabs>
    </w:pPr>
  </w:style>
  <w:style w:type="character" w:customStyle="1" w:styleId="a6">
    <w:name w:val="Верхний колонтитул Знак"/>
    <w:basedOn w:val="a0"/>
    <w:link w:val="a5"/>
    <w:uiPriority w:val="99"/>
    <w:rsid w:val="00DA2E33"/>
    <w:rPr>
      <w:rFonts w:ascii="Times New Roman" w:eastAsia="Calibri" w:hAnsi="Times New Roman" w:cs="Times New Roman"/>
      <w:sz w:val="24"/>
    </w:rPr>
  </w:style>
  <w:style w:type="paragraph" w:styleId="a7">
    <w:name w:val="footer"/>
    <w:basedOn w:val="a"/>
    <w:link w:val="a8"/>
    <w:uiPriority w:val="99"/>
    <w:unhideWhenUsed/>
    <w:rsid w:val="00DA2E33"/>
    <w:pPr>
      <w:tabs>
        <w:tab w:val="center" w:pos="4677"/>
        <w:tab w:val="right" w:pos="9355"/>
      </w:tabs>
    </w:pPr>
  </w:style>
  <w:style w:type="character" w:customStyle="1" w:styleId="a8">
    <w:name w:val="Нижний колонтитул Знак"/>
    <w:basedOn w:val="a0"/>
    <w:link w:val="a7"/>
    <w:uiPriority w:val="99"/>
    <w:rsid w:val="00DA2E33"/>
    <w:rPr>
      <w:rFonts w:ascii="Times New Roman" w:eastAsia="Calibri" w:hAnsi="Times New Roman" w:cs="Times New Roman"/>
      <w:sz w:val="24"/>
    </w:rPr>
  </w:style>
  <w:style w:type="paragraph" w:styleId="a9">
    <w:name w:val="No Spacing"/>
    <w:uiPriority w:val="1"/>
    <w:qFormat/>
    <w:rsid w:val="00F00A5F"/>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E91"/>
    <w:pPr>
      <w:spacing w:after="0" w:line="240" w:lineRule="auto"/>
      <w:jc w:val="both"/>
    </w:pPr>
    <w:rPr>
      <w:rFonts w:ascii="Times New Roman" w:eastAsia="Calibri" w:hAnsi="Times New Roman" w:cs="Times New Roman"/>
      <w:sz w:val="24"/>
    </w:rPr>
  </w:style>
  <w:style w:type="paragraph" w:styleId="2">
    <w:name w:val="heading 2"/>
    <w:basedOn w:val="a"/>
    <w:next w:val="a"/>
    <w:link w:val="20"/>
    <w:qFormat/>
    <w:rsid w:val="00C52E91"/>
    <w:pPr>
      <w:keepNext/>
      <w:spacing w:before="240" w:after="60"/>
      <w:jc w:val="left"/>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52E91"/>
    <w:rPr>
      <w:rFonts w:ascii="Arial" w:eastAsia="Times New Roman" w:hAnsi="Arial" w:cs="Arial"/>
      <w:b/>
      <w:bCs/>
      <w:i/>
      <w:iCs/>
      <w:sz w:val="28"/>
      <w:szCs w:val="28"/>
      <w:lang w:eastAsia="ru-RU"/>
    </w:rPr>
  </w:style>
  <w:style w:type="paragraph" w:customStyle="1" w:styleId="ConsPlusNormal">
    <w:name w:val="ConsPlusNormal"/>
    <w:rsid w:val="00C52E91"/>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3">
    <w:name w:val="Body Text"/>
    <w:basedOn w:val="a"/>
    <w:link w:val="a4"/>
    <w:rsid w:val="00C52E91"/>
    <w:pPr>
      <w:jc w:val="center"/>
    </w:pPr>
    <w:rPr>
      <w:rFonts w:eastAsia="Times New Roman"/>
      <w:szCs w:val="20"/>
      <w:lang w:eastAsia="ru-RU"/>
    </w:rPr>
  </w:style>
  <w:style w:type="character" w:customStyle="1" w:styleId="a4">
    <w:name w:val="Основной текст Знак"/>
    <w:basedOn w:val="a0"/>
    <w:link w:val="a3"/>
    <w:rsid w:val="00C52E91"/>
    <w:rPr>
      <w:rFonts w:ascii="Times New Roman" w:eastAsia="Times New Roman" w:hAnsi="Times New Roman" w:cs="Times New Roman"/>
      <w:sz w:val="24"/>
      <w:szCs w:val="20"/>
      <w:lang w:eastAsia="ru-RU"/>
    </w:rPr>
  </w:style>
  <w:style w:type="paragraph" w:styleId="a5">
    <w:name w:val="header"/>
    <w:basedOn w:val="a"/>
    <w:link w:val="a6"/>
    <w:uiPriority w:val="99"/>
    <w:unhideWhenUsed/>
    <w:rsid w:val="00DA2E33"/>
    <w:pPr>
      <w:tabs>
        <w:tab w:val="center" w:pos="4677"/>
        <w:tab w:val="right" w:pos="9355"/>
      </w:tabs>
    </w:pPr>
  </w:style>
  <w:style w:type="character" w:customStyle="1" w:styleId="a6">
    <w:name w:val="Верхний колонтитул Знак"/>
    <w:basedOn w:val="a0"/>
    <w:link w:val="a5"/>
    <w:uiPriority w:val="99"/>
    <w:rsid w:val="00DA2E33"/>
    <w:rPr>
      <w:rFonts w:ascii="Times New Roman" w:eastAsia="Calibri" w:hAnsi="Times New Roman" w:cs="Times New Roman"/>
      <w:sz w:val="24"/>
    </w:rPr>
  </w:style>
  <w:style w:type="paragraph" w:styleId="a7">
    <w:name w:val="footer"/>
    <w:basedOn w:val="a"/>
    <w:link w:val="a8"/>
    <w:uiPriority w:val="99"/>
    <w:unhideWhenUsed/>
    <w:rsid w:val="00DA2E33"/>
    <w:pPr>
      <w:tabs>
        <w:tab w:val="center" w:pos="4677"/>
        <w:tab w:val="right" w:pos="9355"/>
      </w:tabs>
    </w:pPr>
  </w:style>
  <w:style w:type="character" w:customStyle="1" w:styleId="a8">
    <w:name w:val="Нижний колонтитул Знак"/>
    <w:basedOn w:val="a0"/>
    <w:link w:val="a7"/>
    <w:uiPriority w:val="99"/>
    <w:rsid w:val="00DA2E33"/>
    <w:rPr>
      <w:rFonts w:ascii="Times New Roman" w:eastAsia="Calibri" w:hAnsi="Times New Roman" w:cs="Times New Roman"/>
      <w:sz w:val="24"/>
    </w:rPr>
  </w:style>
  <w:style w:type="paragraph" w:styleId="a9">
    <w:name w:val="No Spacing"/>
    <w:uiPriority w:val="1"/>
    <w:qFormat/>
    <w:rsid w:val="00F00A5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FB42DE5B9449EA779BBEE314797CF8FDAD0DEE60C6642D17A05F082F3C747A292858DFF2E1E7D16BE8BDB638D9183B3C847908E79E9EABB26D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743EFEFC20966E2C77F4D328226A59495A76E44C6B3DA9F2DDECA0614232C126B4850B42796644AABAA03AAFF1F6CEB486F0939BFB28CEPAi6H" TargetMode="External"/><Relationship Id="rId5" Type="http://schemas.openxmlformats.org/officeDocument/2006/relationships/webSettings" Target="webSettings.xml"/><Relationship Id="rId10" Type="http://schemas.openxmlformats.org/officeDocument/2006/relationships/hyperlink" Target="consultantplus://offline/ref=2B70A9DF8F9371ABB517BBBA224C4B4834B6CB1B52150562C0D0CDC10F8EF8081B1AAD999E67E2F22872A4BCE59DAD728C14D78137EE75B1bFB6M" TargetMode="External"/><Relationship Id="rId4" Type="http://schemas.openxmlformats.org/officeDocument/2006/relationships/settings" Target="settings.xml"/><Relationship Id="rId9" Type="http://schemas.openxmlformats.org/officeDocument/2006/relationships/hyperlink" Target="consultantplus://offline/ref=2B70A9DF8F9371ABB517BBBA224C4B4834B6CB1B52150562C0D0CDC10F8EF8081B1AAD999E67E2F52C72A4BCE59DAD728C14D78137EE75B1bFB6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F39FB-BF4F-4DB4-AB6E-0A9F747D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8562</Characters>
  <Application>Microsoft Office Word</Application>
  <DocSecurity>4</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 Пояркова</dc:creator>
  <cp:lastModifiedBy>Елена Е. Филатова</cp:lastModifiedBy>
  <cp:revision>2</cp:revision>
  <cp:lastPrinted>2023-04-25T11:15:00Z</cp:lastPrinted>
  <dcterms:created xsi:type="dcterms:W3CDTF">2023-04-26T11:56:00Z</dcterms:created>
  <dcterms:modified xsi:type="dcterms:W3CDTF">2023-04-26T11:56:00Z</dcterms:modified>
</cp:coreProperties>
</file>