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C9" w:rsidRDefault="006A50C9" w:rsidP="006A50C9">
      <w:pPr>
        <w:snapToGrid w:val="0"/>
        <w:ind w:left="284" w:right="284"/>
        <w:jc w:val="center"/>
        <w:rPr>
          <w:b/>
          <w:sz w:val="28"/>
          <w:szCs w:val="28"/>
        </w:rPr>
      </w:pPr>
    </w:p>
    <w:p w:rsidR="006A50C9" w:rsidRDefault="006A50C9" w:rsidP="006A50C9">
      <w:pPr>
        <w:snapToGrid w:val="0"/>
        <w:ind w:left="284" w:right="284"/>
        <w:jc w:val="center"/>
        <w:rPr>
          <w:b/>
          <w:sz w:val="28"/>
          <w:szCs w:val="28"/>
        </w:rPr>
      </w:pPr>
    </w:p>
    <w:p w:rsidR="006A50C9" w:rsidRDefault="006A50C9" w:rsidP="006A50C9">
      <w:pPr>
        <w:snapToGrid w:val="0"/>
        <w:ind w:left="284" w:right="284"/>
        <w:jc w:val="center"/>
        <w:rPr>
          <w:b/>
          <w:sz w:val="28"/>
          <w:szCs w:val="28"/>
        </w:rPr>
      </w:pPr>
    </w:p>
    <w:p w:rsidR="006A50C9" w:rsidRDefault="006A50C9" w:rsidP="006A50C9">
      <w:pPr>
        <w:snapToGrid w:val="0"/>
        <w:ind w:left="284" w:right="284"/>
        <w:jc w:val="center"/>
        <w:rPr>
          <w:b/>
          <w:sz w:val="28"/>
          <w:szCs w:val="28"/>
        </w:rPr>
      </w:pPr>
    </w:p>
    <w:p w:rsidR="006A50C9" w:rsidRDefault="006A50C9" w:rsidP="006A50C9">
      <w:pPr>
        <w:snapToGrid w:val="0"/>
        <w:ind w:left="284" w:right="284"/>
        <w:jc w:val="center"/>
        <w:rPr>
          <w:b/>
          <w:sz w:val="28"/>
          <w:szCs w:val="28"/>
        </w:rPr>
      </w:pPr>
    </w:p>
    <w:p w:rsidR="006A50C9" w:rsidRDefault="006A50C9" w:rsidP="006A50C9">
      <w:pPr>
        <w:snapToGrid w:val="0"/>
        <w:ind w:left="284" w:right="284"/>
        <w:jc w:val="center"/>
        <w:rPr>
          <w:b/>
          <w:sz w:val="28"/>
          <w:szCs w:val="28"/>
        </w:rPr>
      </w:pPr>
    </w:p>
    <w:p w:rsidR="006A50C9" w:rsidRDefault="006A50C9" w:rsidP="006A50C9">
      <w:pPr>
        <w:snapToGrid w:val="0"/>
        <w:ind w:left="284" w:right="284"/>
        <w:jc w:val="center"/>
        <w:rPr>
          <w:b/>
          <w:sz w:val="28"/>
          <w:szCs w:val="28"/>
        </w:rPr>
      </w:pPr>
    </w:p>
    <w:p w:rsidR="006A50C9" w:rsidRDefault="006A50C9" w:rsidP="006A50C9">
      <w:pPr>
        <w:snapToGrid w:val="0"/>
        <w:ind w:left="284" w:right="284"/>
        <w:jc w:val="center"/>
        <w:rPr>
          <w:b/>
          <w:sz w:val="28"/>
          <w:szCs w:val="28"/>
        </w:rPr>
      </w:pPr>
    </w:p>
    <w:p w:rsidR="006A50C9" w:rsidRDefault="006A50C9" w:rsidP="006A50C9">
      <w:pPr>
        <w:snapToGrid w:val="0"/>
        <w:ind w:left="284" w:right="284"/>
        <w:jc w:val="center"/>
        <w:rPr>
          <w:b/>
          <w:sz w:val="28"/>
          <w:szCs w:val="28"/>
        </w:rPr>
      </w:pPr>
    </w:p>
    <w:p w:rsidR="006A50C9" w:rsidRDefault="006A50C9" w:rsidP="006A50C9">
      <w:pPr>
        <w:snapToGrid w:val="0"/>
        <w:ind w:left="284" w:right="284"/>
        <w:jc w:val="center"/>
        <w:rPr>
          <w:b/>
          <w:sz w:val="28"/>
          <w:szCs w:val="28"/>
        </w:rPr>
      </w:pPr>
    </w:p>
    <w:p w:rsidR="006A50C9" w:rsidRDefault="006A50C9" w:rsidP="006A50C9">
      <w:pPr>
        <w:snapToGrid w:val="0"/>
        <w:ind w:left="284" w:right="284"/>
        <w:jc w:val="center"/>
        <w:rPr>
          <w:b/>
          <w:sz w:val="28"/>
          <w:szCs w:val="28"/>
        </w:rPr>
      </w:pPr>
    </w:p>
    <w:p w:rsidR="00FE307E" w:rsidRPr="006A50C9" w:rsidRDefault="00FE307E" w:rsidP="006A50C9">
      <w:pPr>
        <w:snapToGrid w:val="0"/>
        <w:ind w:left="284" w:right="284"/>
        <w:jc w:val="center"/>
        <w:rPr>
          <w:b/>
          <w:sz w:val="28"/>
          <w:szCs w:val="28"/>
        </w:rPr>
      </w:pPr>
      <w:r w:rsidRPr="006A50C9">
        <w:rPr>
          <w:b/>
          <w:sz w:val="28"/>
          <w:szCs w:val="28"/>
        </w:rPr>
        <w:t>Об информации мэрии о мероприятиях муниципальной прогр</w:t>
      </w:r>
      <w:r w:rsidR="006A50C9">
        <w:rPr>
          <w:b/>
          <w:sz w:val="28"/>
          <w:szCs w:val="28"/>
        </w:rPr>
        <w:t>аммы «Благоустройство территории</w:t>
      </w:r>
      <w:r w:rsidRPr="006A50C9">
        <w:rPr>
          <w:b/>
          <w:sz w:val="28"/>
          <w:szCs w:val="28"/>
        </w:rPr>
        <w:t xml:space="preserve"> городского округа Тольятти </w:t>
      </w:r>
    </w:p>
    <w:p w:rsidR="00FE307E" w:rsidRDefault="00FE307E" w:rsidP="006A50C9">
      <w:pPr>
        <w:snapToGrid w:val="0"/>
        <w:ind w:left="284" w:right="284"/>
        <w:jc w:val="center"/>
        <w:rPr>
          <w:b/>
          <w:sz w:val="28"/>
          <w:szCs w:val="28"/>
        </w:rPr>
      </w:pPr>
      <w:r w:rsidRPr="006A50C9">
        <w:rPr>
          <w:b/>
          <w:sz w:val="28"/>
          <w:szCs w:val="28"/>
        </w:rPr>
        <w:t>на 2015-2024</w:t>
      </w:r>
      <w:r w:rsidR="006A50C9">
        <w:rPr>
          <w:b/>
          <w:sz w:val="28"/>
          <w:szCs w:val="28"/>
        </w:rPr>
        <w:t xml:space="preserve"> годы</w:t>
      </w:r>
      <w:r w:rsidRPr="006A50C9">
        <w:rPr>
          <w:b/>
          <w:sz w:val="28"/>
          <w:szCs w:val="28"/>
        </w:rPr>
        <w:t>» на 2015 год</w:t>
      </w:r>
    </w:p>
    <w:p w:rsidR="006A50C9" w:rsidRDefault="006A50C9" w:rsidP="006A50C9">
      <w:pPr>
        <w:snapToGrid w:val="0"/>
        <w:ind w:left="284" w:right="284"/>
        <w:jc w:val="center"/>
        <w:rPr>
          <w:b/>
          <w:sz w:val="28"/>
          <w:szCs w:val="28"/>
        </w:rPr>
      </w:pPr>
    </w:p>
    <w:p w:rsidR="006A50C9" w:rsidRDefault="006A50C9" w:rsidP="006A50C9">
      <w:pPr>
        <w:snapToGrid w:val="0"/>
        <w:ind w:left="284" w:right="284"/>
        <w:jc w:val="center"/>
        <w:rPr>
          <w:b/>
          <w:sz w:val="28"/>
          <w:szCs w:val="28"/>
        </w:rPr>
      </w:pPr>
    </w:p>
    <w:p w:rsidR="006A50C9" w:rsidRPr="006A50C9" w:rsidRDefault="006A50C9" w:rsidP="006A50C9">
      <w:pPr>
        <w:snapToGrid w:val="0"/>
        <w:ind w:left="284" w:right="284"/>
        <w:jc w:val="center"/>
        <w:rPr>
          <w:b/>
          <w:sz w:val="28"/>
          <w:szCs w:val="28"/>
        </w:rPr>
      </w:pPr>
    </w:p>
    <w:p w:rsidR="00FE307E" w:rsidRDefault="00FE307E" w:rsidP="006A50C9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A50C9">
        <w:rPr>
          <w:rFonts w:cs="Times New Roman"/>
          <w:sz w:val="28"/>
          <w:szCs w:val="28"/>
        </w:rPr>
        <w:t>Рассмотрев информацию мэрии о мероприятиях муниципальной программы «Благоустройство территори</w:t>
      </w:r>
      <w:r w:rsidR="006A50C9">
        <w:rPr>
          <w:rFonts w:cs="Times New Roman"/>
          <w:sz w:val="28"/>
          <w:szCs w:val="28"/>
        </w:rPr>
        <w:t>и</w:t>
      </w:r>
      <w:r w:rsidRPr="006A50C9">
        <w:rPr>
          <w:rFonts w:cs="Times New Roman"/>
          <w:sz w:val="28"/>
          <w:szCs w:val="28"/>
        </w:rPr>
        <w:t xml:space="preserve"> городского округа Тольятти на 2015-2024</w:t>
      </w:r>
      <w:r w:rsidR="006A50C9">
        <w:rPr>
          <w:rFonts w:cs="Times New Roman"/>
          <w:sz w:val="28"/>
          <w:szCs w:val="28"/>
        </w:rPr>
        <w:t xml:space="preserve"> годы</w:t>
      </w:r>
      <w:r w:rsidRPr="006A50C9">
        <w:rPr>
          <w:rFonts w:cs="Times New Roman"/>
          <w:sz w:val="28"/>
          <w:szCs w:val="28"/>
        </w:rPr>
        <w:t>» на 2015 год, Дума</w:t>
      </w:r>
    </w:p>
    <w:p w:rsidR="006A50C9" w:rsidRPr="006A50C9" w:rsidRDefault="006A50C9" w:rsidP="006A50C9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</w:rPr>
      </w:pPr>
    </w:p>
    <w:p w:rsidR="00FE307E" w:rsidRDefault="00FE307E" w:rsidP="006A50C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6A50C9">
        <w:rPr>
          <w:rFonts w:ascii="Times New Roman CYR" w:hAnsi="Times New Roman CYR" w:cs="Times New Roman CYR"/>
          <w:sz w:val="28"/>
          <w:szCs w:val="28"/>
        </w:rPr>
        <w:t>РЕШИЛА:</w:t>
      </w:r>
    </w:p>
    <w:p w:rsidR="006A50C9" w:rsidRPr="006A50C9" w:rsidRDefault="006A50C9" w:rsidP="006A50C9">
      <w:pPr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i/>
          <w:iCs/>
          <w:sz w:val="20"/>
        </w:rPr>
      </w:pPr>
    </w:p>
    <w:p w:rsidR="00FE307E" w:rsidRPr="006A50C9" w:rsidRDefault="00FE307E" w:rsidP="006A50C9">
      <w:pPr>
        <w:pStyle w:val="a3"/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 w:rsidRPr="006A50C9">
        <w:rPr>
          <w:rFonts w:cs="Times New Roman"/>
          <w:sz w:val="28"/>
          <w:szCs w:val="28"/>
        </w:rPr>
        <w:t>1. Информацию принять к сведению.</w:t>
      </w:r>
    </w:p>
    <w:p w:rsidR="00FE307E" w:rsidRPr="006A50C9" w:rsidRDefault="00FE307E" w:rsidP="006A50C9">
      <w:pPr>
        <w:pStyle w:val="a3"/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 w:rsidRPr="006A50C9">
        <w:rPr>
          <w:rFonts w:cs="Times New Roman"/>
          <w:sz w:val="28"/>
          <w:szCs w:val="28"/>
        </w:rPr>
        <w:t>2. Отметить:</w:t>
      </w:r>
    </w:p>
    <w:p w:rsidR="00FE307E" w:rsidRPr="006A50C9" w:rsidRDefault="00FE307E" w:rsidP="006A50C9">
      <w:pPr>
        <w:pStyle w:val="a3"/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 w:rsidRPr="006A50C9">
        <w:rPr>
          <w:rFonts w:cs="Times New Roman"/>
          <w:sz w:val="28"/>
          <w:szCs w:val="28"/>
        </w:rPr>
        <w:t>1) по состоянию на 23 декабря 2014 года муниципальная программа «Благоустройство территори</w:t>
      </w:r>
      <w:r w:rsidR="006A50C9">
        <w:rPr>
          <w:rFonts w:cs="Times New Roman"/>
          <w:sz w:val="28"/>
          <w:szCs w:val="28"/>
        </w:rPr>
        <w:t>и</w:t>
      </w:r>
      <w:r w:rsidRPr="006A50C9">
        <w:rPr>
          <w:rFonts w:cs="Times New Roman"/>
          <w:sz w:val="28"/>
          <w:szCs w:val="28"/>
        </w:rPr>
        <w:t xml:space="preserve"> городского округа Тольятти на 2015-2024</w:t>
      </w:r>
      <w:r w:rsidR="006A50C9">
        <w:rPr>
          <w:rFonts w:cs="Times New Roman"/>
          <w:sz w:val="28"/>
          <w:szCs w:val="28"/>
        </w:rPr>
        <w:t xml:space="preserve"> годы</w:t>
      </w:r>
      <w:r w:rsidRPr="006A50C9">
        <w:rPr>
          <w:rFonts w:cs="Times New Roman"/>
          <w:sz w:val="28"/>
          <w:szCs w:val="28"/>
        </w:rPr>
        <w:t>» не утверждена;</w:t>
      </w:r>
    </w:p>
    <w:p w:rsidR="00FE307E" w:rsidRPr="006A50C9" w:rsidRDefault="00FE307E" w:rsidP="006A50C9">
      <w:pPr>
        <w:pStyle w:val="a3"/>
        <w:autoSpaceDE w:val="0"/>
        <w:autoSpaceDN w:val="0"/>
        <w:adjustRightInd w:val="0"/>
        <w:ind w:left="0" w:firstLine="709"/>
        <w:jc w:val="both"/>
        <w:rPr>
          <w:rFonts w:cs="Times New Roman"/>
          <w:i/>
          <w:sz w:val="28"/>
          <w:szCs w:val="28"/>
        </w:rPr>
      </w:pPr>
      <w:r w:rsidRPr="006A50C9">
        <w:rPr>
          <w:rFonts w:cs="Times New Roman"/>
          <w:sz w:val="28"/>
          <w:szCs w:val="28"/>
        </w:rPr>
        <w:t>2) в представленных мэрией материалах отсутствует информация о планируемых сроках утверждения муниципальной программы, а также информация о мероприятиях по благоустройству городского округа Тольятти, планируемых к реализации в 2015 году.</w:t>
      </w:r>
    </w:p>
    <w:p w:rsidR="00FE307E" w:rsidRPr="006A50C9" w:rsidRDefault="00FE307E" w:rsidP="006A50C9">
      <w:pPr>
        <w:snapToGrid w:val="0"/>
        <w:ind w:right="-2" w:firstLine="709"/>
        <w:jc w:val="both"/>
        <w:rPr>
          <w:rFonts w:cs="Times New Roman"/>
          <w:sz w:val="28"/>
          <w:szCs w:val="28"/>
        </w:rPr>
      </w:pPr>
      <w:r w:rsidRPr="006A50C9">
        <w:rPr>
          <w:rFonts w:cs="Times New Roman"/>
          <w:sz w:val="28"/>
          <w:szCs w:val="28"/>
        </w:rPr>
        <w:t>3. Рекомендовать мэрии (Андреев С.И.):</w:t>
      </w:r>
    </w:p>
    <w:p w:rsidR="00FE307E" w:rsidRPr="006A50C9" w:rsidRDefault="00FE307E" w:rsidP="006A50C9">
      <w:pPr>
        <w:snapToGrid w:val="0"/>
        <w:ind w:right="-2" w:firstLine="709"/>
        <w:jc w:val="both"/>
        <w:rPr>
          <w:rFonts w:cs="Times New Roman"/>
          <w:sz w:val="28"/>
          <w:szCs w:val="28"/>
        </w:rPr>
      </w:pPr>
      <w:r w:rsidRPr="006A50C9">
        <w:rPr>
          <w:rFonts w:cs="Times New Roman"/>
          <w:sz w:val="28"/>
          <w:szCs w:val="28"/>
        </w:rPr>
        <w:t>1) утвердить муниципальную прогр</w:t>
      </w:r>
      <w:r w:rsidR="006A50C9">
        <w:rPr>
          <w:rFonts w:cs="Times New Roman"/>
          <w:sz w:val="28"/>
          <w:szCs w:val="28"/>
        </w:rPr>
        <w:t>амму «Благоустройство территории</w:t>
      </w:r>
      <w:r w:rsidRPr="006A50C9">
        <w:rPr>
          <w:rFonts w:cs="Times New Roman"/>
          <w:sz w:val="28"/>
          <w:szCs w:val="28"/>
        </w:rPr>
        <w:t xml:space="preserve"> городского округа Тольятти на 2015-2024</w:t>
      </w:r>
      <w:r w:rsidR="006A50C9">
        <w:rPr>
          <w:rFonts w:cs="Times New Roman"/>
          <w:sz w:val="28"/>
          <w:szCs w:val="28"/>
        </w:rPr>
        <w:t xml:space="preserve"> годы</w:t>
      </w:r>
      <w:r w:rsidRPr="006A50C9">
        <w:rPr>
          <w:rFonts w:cs="Times New Roman"/>
          <w:sz w:val="28"/>
          <w:szCs w:val="28"/>
        </w:rPr>
        <w:t xml:space="preserve">» в срок до 1 февраля </w:t>
      </w:r>
      <w:r w:rsidR="00D01EC7">
        <w:rPr>
          <w:rFonts w:cs="Times New Roman"/>
          <w:sz w:val="28"/>
          <w:szCs w:val="28"/>
        </w:rPr>
        <w:br/>
      </w:r>
      <w:bookmarkStart w:id="0" w:name="_GoBack"/>
      <w:bookmarkEnd w:id="0"/>
      <w:r w:rsidRPr="006A50C9">
        <w:rPr>
          <w:rFonts w:cs="Times New Roman"/>
          <w:sz w:val="28"/>
          <w:szCs w:val="28"/>
        </w:rPr>
        <w:t>2015 года;</w:t>
      </w:r>
    </w:p>
    <w:p w:rsidR="00FE307E" w:rsidRPr="006A50C9" w:rsidRDefault="00FE307E" w:rsidP="006A50C9">
      <w:pPr>
        <w:snapToGrid w:val="0"/>
        <w:ind w:right="-2" w:firstLine="709"/>
        <w:jc w:val="both"/>
        <w:rPr>
          <w:rFonts w:cs="Times New Roman"/>
          <w:sz w:val="28"/>
          <w:szCs w:val="28"/>
        </w:rPr>
      </w:pPr>
      <w:r w:rsidRPr="006A50C9">
        <w:rPr>
          <w:rFonts w:cs="Times New Roman"/>
          <w:sz w:val="28"/>
          <w:szCs w:val="28"/>
        </w:rPr>
        <w:t>2) предусмотреть в муниципальной программе:</w:t>
      </w:r>
    </w:p>
    <w:p w:rsidR="00FE307E" w:rsidRPr="006A50C9" w:rsidRDefault="00FE307E" w:rsidP="006A50C9">
      <w:pPr>
        <w:snapToGrid w:val="0"/>
        <w:ind w:right="-2" w:firstLine="709"/>
        <w:jc w:val="both"/>
        <w:rPr>
          <w:rFonts w:cs="Times New Roman"/>
          <w:sz w:val="28"/>
          <w:szCs w:val="28"/>
        </w:rPr>
      </w:pPr>
      <w:r w:rsidRPr="006A50C9">
        <w:rPr>
          <w:rFonts w:cs="Times New Roman"/>
          <w:sz w:val="28"/>
          <w:szCs w:val="28"/>
        </w:rPr>
        <w:t>- мероприятия по благоустройству внутриквартальных территорий, согласованные с депутатами Дум</w:t>
      </w:r>
      <w:r w:rsidR="006A50C9">
        <w:rPr>
          <w:rFonts w:cs="Times New Roman"/>
          <w:sz w:val="28"/>
          <w:szCs w:val="28"/>
        </w:rPr>
        <w:t>ы городского округа Тольятти и о</w:t>
      </w:r>
      <w:r w:rsidRPr="006A50C9">
        <w:rPr>
          <w:rFonts w:cs="Times New Roman"/>
          <w:sz w:val="28"/>
          <w:szCs w:val="28"/>
        </w:rPr>
        <w:t xml:space="preserve">бщественными советами районов, на сумму 170 </w:t>
      </w:r>
      <w:proofErr w:type="gramStart"/>
      <w:r w:rsidRPr="006A50C9">
        <w:rPr>
          <w:rFonts w:cs="Times New Roman"/>
          <w:sz w:val="28"/>
          <w:szCs w:val="28"/>
        </w:rPr>
        <w:t>млн</w:t>
      </w:r>
      <w:proofErr w:type="gramEnd"/>
      <w:r w:rsidRPr="006A50C9">
        <w:rPr>
          <w:rFonts w:cs="Times New Roman"/>
          <w:sz w:val="28"/>
          <w:szCs w:val="28"/>
        </w:rPr>
        <w:t xml:space="preserve"> рублей;</w:t>
      </w:r>
    </w:p>
    <w:p w:rsidR="00FE307E" w:rsidRPr="006A50C9" w:rsidRDefault="00FE307E" w:rsidP="006A50C9">
      <w:pPr>
        <w:snapToGrid w:val="0"/>
        <w:ind w:right="-2" w:firstLine="709"/>
        <w:jc w:val="both"/>
        <w:rPr>
          <w:rFonts w:cs="Times New Roman"/>
          <w:sz w:val="28"/>
          <w:szCs w:val="28"/>
        </w:rPr>
      </w:pPr>
      <w:r w:rsidRPr="006A50C9">
        <w:rPr>
          <w:rFonts w:cs="Times New Roman"/>
          <w:sz w:val="28"/>
          <w:szCs w:val="28"/>
        </w:rPr>
        <w:t>- мероприятия по благоустройству знаковых и социально значимых мест, согласованные с депутатами Дум</w:t>
      </w:r>
      <w:r w:rsidR="006A50C9">
        <w:rPr>
          <w:rFonts w:cs="Times New Roman"/>
          <w:sz w:val="28"/>
          <w:szCs w:val="28"/>
        </w:rPr>
        <w:t>ы городского округа Тольятти и о</w:t>
      </w:r>
      <w:r w:rsidRPr="006A50C9">
        <w:rPr>
          <w:rFonts w:cs="Times New Roman"/>
          <w:sz w:val="28"/>
          <w:szCs w:val="28"/>
        </w:rPr>
        <w:t xml:space="preserve">бщественными советами районов, на сумму 3,4 </w:t>
      </w:r>
      <w:proofErr w:type="gramStart"/>
      <w:r w:rsidRPr="006A50C9">
        <w:rPr>
          <w:rFonts w:cs="Times New Roman"/>
          <w:sz w:val="28"/>
          <w:szCs w:val="28"/>
        </w:rPr>
        <w:t>млн</w:t>
      </w:r>
      <w:proofErr w:type="gramEnd"/>
      <w:r w:rsidRPr="006A50C9">
        <w:rPr>
          <w:rFonts w:cs="Times New Roman"/>
          <w:sz w:val="28"/>
          <w:szCs w:val="28"/>
        </w:rPr>
        <w:t xml:space="preserve"> рублей;</w:t>
      </w:r>
    </w:p>
    <w:p w:rsidR="00FE307E" w:rsidRPr="006A50C9" w:rsidRDefault="00FE307E" w:rsidP="006A50C9">
      <w:pPr>
        <w:snapToGrid w:val="0"/>
        <w:ind w:right="-2" w:firstLine="709"/>
        <w:jc w:val="both"/>
        <w:rPr>
          <w:rFonts w:cs="Times New Roman"/>
          <w:sz w:val="28"/>
          <w:szCs w:val="28"/>
        </w:rPr>
      </w:pPr>
      <w:r w:rsidRPr="006A50C9">
        <w:rPr>
          <w:rFonts w:cs="Times New Roman"/>
          <w:sz w:val="28"/>
          <w:szCs w:val="28"/>
        </w:rPr>
        <w:lastRenderedPageBreak/>
        <w:t xml:space="preserve">- мероприятия по благоустройству обзорного (кольцевого) туристического маршрута по городскому округу Тольятти на сумму </w:t>
      </w:r>
      <w:r w:rsidR="006A50C9">
        <w:rPr>
          <w:rFonts w:cs="Times New Roman"/>
          <w:sz w:val="28"/>
          <w:szCs w:val="28"/>
        </w:rPr>
        <w:br/>
      </w:r>
      <w:r w:rsidRPr="006A50C9">
        <w:rPr>
          <w:rFonts w:cs="Times New Roman"/>
          <w:sz w:val="28"/>
          <w:szCs w:val="28"/>
        </w:rPr>
        <w:t xml:space="preserve">7,8 </w:t>
      </w:r>
      <w:proofErr w:type="gramStart"/>
      <w:r w:rsidRPr="006A50C9">
        <w:rPr>
          <w:rFonts w:cs="Times New Roman"/>
          <w:sz w:val="28"/>
          <w:szCs w:val="28"/>
        </w:rPr>
        <w:t>млн</w:t>
      </w:r>
      <w:proofErr w:type="gramEnd"/>
      <w:r w:rsidRPr="006A50C9">
        <w:rPr>
          <w:rFonts w:cs="Times New Roman"/>
          <w:sz w:val="28"/>
          <w:szCs w:val="28"/>
        </w:rPr>
        <w:t xml:space="preserve"> рублей;</w:t>
      </w:r>
    </w:p>
    <w:p w:rsidR="00FE307E" w:rsidRPr="006A50C9" w:rsidRDefault="00FE307E" w:rsidP="006A50C9">
      <w:pPr>
        <w:snapToGrid w:val="0"/>
        <w:ind w:right="-2" w:firstLine="709"/>
        <w:jc w:val="both"/>
        <w:rPr>
          <w:rFonts w:cs="Times New Roman"/>
          <w:sz w:val="28"/>
          <w:szCs w:val="28"/>
        </w:rPr>
      </w:pPr>
      <w:r w:rsidRPr="006A50C9">
        <w:rPr>
          <w:rFonts w:cs="Times New Roman"/>
          <w:sz w:val="28"/>
          <w:szCs w:val="28"/>
        </w:rPr>
        <w:t>3) определить в муниципальной программе сроки завершения работ в 2015 году не позднее 15 ноября 2015 года;</w:t>
      </w:r>
    </w:p>
    <w:p w:rsidR="00FE307E" w:rsidRPr="006A50C9" w:rsidRDefault="00FE307E" w:rsidP="006A50C9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6A50C9">
        <w:rPr>
          <w:rFonts w:cs="Times New Roman"/>
          <w:sz w:val="28"/>
          <w:szCs w:val="28"/>
        </w:rPr>
        <w:t xml:space="preserve">4) направить заявку в Правительство Самарской области на </w:t>
      </w:r>
      <w:proofErr w:type="spellStart"/>
      <w:r w:rsidRPr="006A50C9">
        <w:rPr>
          <w:rFonts w:cs="Times New Roman"/>
          <w:sz w:val="28"/>
          <w:szCs w:val="28"/>
        </w:rPr>
        <w:t>софинансирование</w:t>
      </w:r>
      <w:proofErr w:type="spellEnd"/>
      <w:r w:rsidRPr="006A50C9">
        <w:rPr>
          <w:rFonts w:cs="Times New Roman"/>
          <w:sz w:val="28"/>
          <w:szCs w:val="28"/>
        </w:rPr>
        <w:t xml:space="preserve"> мероприятий по благоустройству территории городского округа Тольятти в рамках реализации государственной программы Самарской области «Содействие развитию благоустройства территор</w:t>
      </w:r>
      <w:r w:rsidR="006A50C9">
        <w:rPr>
          <w:rFonts w:cs="Times New Roman"/>
          <w:sz w:val="28"/>
          <w:szCs w:val="28"/>
        </w:rPr>
        <w:t>ий муниципальных образований в С</w:t>
      </w:r>
      <w:r w:rsidRPr="006A50C9">
        <w:rPr>
          <w:rFonts w:cs="Times New Roman"/>
          <w:sz w:val="28"/>
          <w:szCs w:val="28"/>
        </w:rPr>
        <w:t>амарской области на 2014-2018 годы»</w:t>
      </w:r>
      <w:r w:rsidR="00F764CB">
        <w:rPr>
          <w:rFonts w:cs="Times New Roman"/>
          <w:sz w:val="28"/>
          <w:szCs w:val="28"/>
        </w:rPr>
        <w:t>, утвержденной постановлением П</w:t>
      </w:r>
      <w:r w:rsidR="006A50C9">
        <w:rPr>
          <w:rFonts w:cs="Times New Roman"/>
          <w:sz w:val="28"/>
          <w:szCs w:val="28"/>
        </w:rPr>
        <w:t xml:space="preserve">равительства Самарской области </w:t>
      </w:r>
      <w:r w:rsidR="006A50C9">
        <w:rPr>
          <w:rFonts w:cs="Times New Roman"/>
          <w:sz w:val="28"/>
          <w:szCs w:val="28"/>
        </w:rPr>
        <w:br/>
        <w:t>от 27 ноября 2013 года №670,</w:t>
      </w:r>
      <w:r w:rsidRPr="006A50C9">
        <w:rPr>
          <w:rFonts w:cs="Times New Roman"/>
          <w:sz w:val="28"/>
          <w:szCs w:val="28"/>
        </w:rPr>
        <w:t xml:space="preserve"> и представить в Думу информацию о направленной заявке и </w:t>
      </w:r>
      <w:r w:rsidR="006A50C9">
        <w:rPr>
          <w:rFonts w:cs="Times New Roman"/>
          <w:sz w:val="28"/>
          <w:szCs w:val="28"/>
        </w:rPr>
        <w:t xml:space="preserve">об </w:t>
      </w:r>
      <w:r w:rsidRPr="006A50C9">
        <w:rPr>
          <w:rFonts w:cs="Times New Roman"/>
          <w:sz w:val="28"/>
          <w:szCs w:val="28"/>
        </w:rPr>
        <w:t>итогах ее рассмотрения.</w:t>
      </w:r>
      <w:proofErr w:type="gramEnd"/>
    </w:p>
    <w:p w:rsidR="00FE307E" w:rsidRDefault="00FE307E" w:rsidP="006A50C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A50C9">
        <w:rPr>
          <w:sz w:val="28"/>
          <w:szCs w:val="28"/>
        </w:rPr>
        <w:t xml:space="preserve">4. </w:t>
      </w:r>
      <w:proofErr w:type="gramStart"/>
      <w:r w:rsidRPr="006A50C9">
        <w:rPr>
          <w:sz w:val="28"/>
          <w:szCs w:val="28"/>
        </w:rPr>
        <w:t>Контроль за</w:t>
      </w:r>
      <w:proofErr w:type="gramEnd"/>
      <w:r w:rsidRPr="006A50C9">
        <w:rPr>
          <w:sz w:val="28"/>
          <w:szCs w:val="28"/>
        </w:rPr>
        <w:t xml:space="preserve"> выполнением настоящего решения возложить на постоянную комиссию по городскому хозяйству (</w:t>
      </w:r>
      <w:proofErr w:type="spellStart"/>
      <w:r w:rsidRPr="006A50C9">
        <w:rPr>
          <w:sz w:val="28"/>
          <w:szCs w:val="28"/>
        </w:rPr>
        <w:t>Альшин</w:t>
      </w:r>
      <w:proofErr w:type="spellEnd"/>
      <w:r w:rsidRPr="006A50C9">
        <w:rPr>
          <w:sz w:val="28"/>
          <w:szCs w:val="28"/>
        </w:rPr>
        <w:t xml:space="preserve"> А.В.).</w:t>
      </w:r>
    </w:p>
    <w:p w:rsidR="006A50C9" w:rsidRDefault="006A50C9" w:rsidP="006A50C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A50C9" w:rsidRDefault="006A50C9" w:rsidP="006A50C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A50C9" w:rsidRPr="006A50C9" w:rsidRDefault="006A50C9" w:rsidP="006A50C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E307E" w:rsidRPr="006A50C9" w:rsidRDefault="00FE307E" w:rsidP="006A50C9">
      <w:pPr>
        <w:rPr>
          <w:rFonts w:cs="Times New Roman"/>
          <w:sz w:val="28"/>
          <w:szCs w:val="28"/>
        </w:rPr>
      </w:pPr>
      <w:r w:rsidRPr="006A50C9">
        <w:rPr>
          <w:sz w:val="28"/>
          <w:szCs w:val="28"/>
        </w:rPr>
        <w:t>Председатель Думы</w:t>
      </w:r>
      <w:r w:rsidRPr="006A50C9">
        <w:rPr>
          <w:sz w:val="28"/>
          <w:szCs w:val="28"/>
        </w:rPr>
        <w:tab/>
      </w:r>
      <w:r w:rsidRPr="006A50C9">
        <w:rPr>
          <w:sz w:val="28"/>
          <w:szCs w:val="28"/>
        </w:rPr>
        <w:tab/>
        <w:t xml:space="preserve">                                                              </w:t>
      </w:r>
      <w:proofErr w:type="spellStart"/>
      <w:r w:rsidRPr="006A50C9">
        <w:rPr>
          <w:sz w:val="28"/>
          <w:szCs w:val="28"/>
        </w:rPr>
        <w:t>Д.Б.Микель</w:t>
      </w:r>
      <w:proofErr w:type="spellEnd"/>
    </w:p>
    <w:p w:rsidR="001D6784" w:rsidRPr="006A50C9" w:rsidRDefault="001D6784" w:rsidP="006A50C9">
      <w:pPr>
        <w:rPr>
          <w:sz w:val="28"/>
          <w:szCs w:val="28"/>
        </w:rPr>
      </w:pPr>
    </w:p>
    <w:sectPr w:rsidR="001D6784" w:rsidRPr="006A50C9" w:rsidSect="006A50C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0C9" w:rsidRDefault="006A50C9" w:rsidP="006A50C9">
      <w:r>
        <w:separator/>
      </w:r>
    </w:p>
  </w:endnote>
  <w:endnote w:type="continuationSeparator" w:id="0">
    <w:p w:rsidR="006A50C9" w:rsidRDefault="006A50C9" w:rsidP="006A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0C9" w:rsidRDefault="006A50C9" w:rsidP="006A50C9">
      <w:r>
        <w:separator/>
      </w:r>
    </w:p>
  </w:footnote>
  <w:footnote w:type="continuationSeparator" w:id="0">
    <w:p w:rsidR="006A50C9" w:rsidRDefault="006A50C9" w:rsidP="006A5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0133115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6A50C9" w:rsidRDefault="006A50C9">
        <w:pPr>
          <w:pStyle w:val="a4"/>
          <w:jc w:val="center"/>
        </w:pPr>
        <w:r w:rsidRPr="006A50C9">
          <w:rPr>
            <w:sz w:val="20"/>
          </w:rPr>
          <w:fldChar w:fldCharType="begin"/>
        </w:r>
        <w:r w:rsidRPr="006A50C9">
          <w:rPr>
            <w:sz w:val="20"/>
          </w:rPr>
          <w:instrText>PAGE   \* MERGEFORMAT</w:instrText>
        </w:r>
        <w:r w:rsidRPr="006A50C9">
          <w:rPr>
            <w:sz w:val="20"/>
          </w:rPr>
          <w:fldChar w:fldCharType="separate"/>
        </w:r>
        <w:r w:rsidR="00D01EC7">
          <w:rPr>
            <w:noProof/>
            <w:sz w:val="20"/>
          </w:rPr>
          <w:t>2</w:t>
        </w:r>
        <w:r w:rsidRPr="006A50C9">
          <w:rPr>
            <w:sz w:val="20"/>
          </w:rPr>
          <w:fldChar w:fldCharType="end"/>
        </w:r>
      </w:p>
    </w:sdtContent>
  </w:sdt>
  <w:p w:rsidR="006A50C9" w:rsidRDefault="006A50C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07E"/>
    <w:rsid w:val="001D6784"/>
    <w:rsid w:val="006A50C9"/>
    <w:rsid w:val="00D01EC7"/>
    <w:rsid w:val="00F764CB"/>
    <w:rsid w:val="00FE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7E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0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50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50C9"/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A50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50C9"/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50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e.filatova</dc:creator>
  <cp:lastModifiedBy>Оленина</cp:lastModifiedBy>
  <cp:revision>4</cp:revision>
  <cp:lastPrinted>2014-12-25T10:00:00Z</cp:lastPrinted>
  <dcterms:created xsi:type="dcterms:W3CDTF">2014-12-23T09:53:00Z</dcterms:created>
  <dcterms:modified xsi:type="dcterms:W3CDTF">2014-12-26T04:11:00Z</dcterms:modified>
</cp:coreProperties>
</file>